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spacing w:before="156" w:beforeLines="50" w:after="156" w:afterLines="50" w:line="600" w:lineRule="exact"/>
        <w:ind w:firstLine="0" w:firstLineChars="0"/>
        <w:jc w:val="center"/>
        <w:rPr>
          <w:rFonts w:hint="eastAsia" w:ascii="国标小标宋" w:hAnsi="国标小标宋" w:eastAsia="国标小标宋" w:cs="国标小标宋"/>
          <w:b w:val="0"/>
          <w:bCs w:val="0"/>
          <w:sz w:val="44"/>
          <w:szCs w:val="44"/>
          <w:shd w:val="clear" w:color="auto" w:fill="FFFFFF"/>
        </w:rPr>
      </w:pPr>
      <w:r>
        <w:rPr>
          <w:rFonts w:hint="eastAsia" w:ascii="国标小标宋" w:hAnsi="国标小标宋" w:eastAsia="国标小标宋" w:cs="国标小标宋"/>
          <w:b w:val="0"/>
          <w:bCs w:val="0"/>
          <w:sz w:val="44"/>
          <w:szCs w:val="44"/>
          <w:shd w:val="clear" w:color="auto" w:fill="FFFFFF"/>
        </w:rPr>
        <w:t>2025年度怀化市公共资源交易中心</w:t>
      </w:r>
    </w:p>
    <w:p>
      <w:pPr>
        <w:pStyle w:val="14"/>
        <w:spacing w:before="156" w:beforeLines="50" w:after="156" w:afterLines="50" w:line="600" w:lineRule="exact"/>
        <w:ind w:firstLine="0" w:firstLineChars="0"/>
        <w:jc w:val="center"/>
        <w:rPr>
          <w:rFonts w:hint="eastAsia" w:ascii="国标小标宋" w:hAnsi="国标小标宋" w:eastAsia="国标小标宋" w:cs="国标小标宋"/>
          <w:b w:val="0"/>
          <w:bCs w:val="0"/>
          <w:sz w:val="44"/>
          <w:szCs w:val="44"/>
          <w:shd w:val="clear" w:color="auto" w:fill="FFFFFF"/>
        </w:rPr>
      </w:pPr>
      <w:r>
        <w:rPr>
          <w:rFonts w:hint="eastAsia" w:ascii="国标小标宋" w:hAnsi="国标小标宋" w:eastAsia="国标小标宋" w:cs="国标小标宋"/>
          <w:b w:val="0"/>
          <w:bCs w:val="0"/>
          <w:sz w:val="44"/>
          <w:szCs w:val="44"/>
          <w:shd w:val="clear" w:color="auto" w:fill="FFFFFF"/>
        </w:rPr>
        <w:t>部门整体支出绩效自评报告</w:t>
      </w:r>
    </w:p>
    <w:p>
      <w:pPr>
        <w:snapToGrid w:val="0"/>
        <w:spacing w:line="600" w:lineRule="exact"/>
        <w:ind w:firstLine="641" w:firstLineChars="200"/>
        <w:rPr>
          <w:rFonts w:hint="eastAsia" w:ascii="国标黑体" w:hAnsi="国标黑体" w:eastAsia="国标黑体" w:cs="国标黑体"/>
          <w:b/>
          <w:bCs/>
          <w:sz w:val="32"/>
          <w:szCs w:val="32"/>
        </w:rPr>
      </w:pPr>
      <w:r>
        <w:rPr>
          <w:rFonts w:hint="eastAsia" w:ascii="国标黑体" w:hAnsi="国标黑体" w:eastAsia="国标黑体" w:cs="国标黑体"/>
          <w:b/>
          <w:bCs/>
          <w:sz w:val="32"/>
          <w:szCs w:val="32"/>
        </w:rPr>
        <w:t>一、部门概况</w:t>
      </w:r>
    </w:p>
    <w:p>
      <w:pPr>
        <w:snapToGrid w:val="0"/>
        <w:spacing w:line="600" w:lineRule="exact"/>
        <w:ind w:firstLine="640" w:firstLineChars="200"/>
        <w:rPr>
          <w:rFonts w:hint="eastAsia" w:ascii="国标楷体" w:hAnsi="国标楷体" w:eastAsia="国标楷体" w:cs="国标楷体"/>
          <w:sz w:val="32"/>
          <w:szCs w:val="32"/>
        </w:rPr>
      </w:pPr>
      <w:r>
        <w:rPr>
          <w:rFonts w:hint="eastAsia" w:ascii="国标楷体" w:hAnsi="国标楷体" w:eastAsia="国标楷体" w:cs="国标楷体"/>
          <w:sz w:val="32"/>
          <w:szCs w:val="32"/>
        </w:rPr>
        <w:t>（一）部门（单位）基本情况</w:t>
      </w:r>
    </w:p>
    <w:p>
      <w:pPr>
        <w:snapToGrid w:val="0"/>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1.机构设置情况</w:t>
      </w:r>
    </w:p>
    <w:p>
      <w:pPr>
        <w:snapToGrid w:val="0"/>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怀化市公共资源交易中心为市人民政府直属正处级公益一类事业单位，内设部室为：办公室、监督部、技术信息与市场服务部、财务部、工程交易部、政府采购交易部、产权交易部、自然资源交易部8个职能部室。</w:t>
      </w:r>
    </w:p>
    <w:p>
      <w:pPr>
        <w:snapToGrid w:val="0"/>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2.人员编制情况</w:t>
      </w:r>
    </w:p>
    <w:p>
      <w:pPr>
        <w:snapToGrid w:val="0"/>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根据三定方案，2025年度怀化市公共资源交易中心编制人员54人，在编在岗63人，其中：差额事业管理人员编制54人，长聘人员9人。</w:t>
      </w:r>
    </w:p>
    <w:p>
      <w:pPr>
        <w:snapToGrid w:val="0"/>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3.主要职能职责</w:t>
      </w:r>
    </w:p>
    <w:p>
      <w:pPr>
        <w:snapToGrid w:val="0"/>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（1）贯彻执行国家和省有关公共资源交易的方针政策和法律法规，为市场主体、社会公众、行政监督管理部门提供综合服务。</w:t>
      </w:r>
    </w:p>
    <w:p>
      <w:pPr>
        <w:snapToGrid w:val="0"/>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（2）为公共资源交易平台提供运行服务。</w:t>
      </w:r>
    </w:p>
    <w:p>
      <w:pPr>
        <w:snapToGrid w:val="0"/>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（3）承担工程交易、政府采购交易、产权交易和自然资源交易相关服务工作；提供交易活动所必要的场所、设施和服务。</w:t>
      </w:r>
    </w:p>
    <w:p>
      <w:pPr>
        <w:snapToGrid w:val="0"/>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（4）执行各类公共资源交易流程、操作规程和现场管理制度，维持现场交易秩序；为电子交易和监管系统提供对接服务。</w:t>
      </w:r>
    </w:p>
    <w:p>
      <w:pPr>
        <w:snapToGrid w:val="0"/>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5）负责市级公共资源交易平台及电子系统建设、运行、管理，为有关部门核验交易主体的资质提供服务，收集、储存和发布各类公共资源交易信息，为市场主体提供信息咨询服务，记录、整理、保存交易服务过程相关资料，汇总分析、综合利用交易数据，开展交易风险监测预警。</w:t>
      </w:r>
    </w:p>
    <w:p>
      <w:pPr>
        <w:snapToGrid w:val="0"/>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（6）为行政监管部门开展监督提供必要条件和平台服务，配合行政监管部门和监察机关的监督管理工作，及时向行政监管部门报告发现的违反交易规则和管理制度的行为。</w:t>
      </w:r>
    </w:p>
    <w:p>
      <w:pPr>
        <w:snapToGrid w:val="0"/>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（7）在相关部门监督下，承担评标专家抽取有关工作；提供交易活动见证服务；做好项目入场登记服务，组织平台内的公共资源交易活动，对参与平台内交易活动的相关人员、机构活动进行记录和考评。</w:t>
      </w:r>
    </w:p>
    <w:p>
      <w:pPr>
        <w:snapToGrid w:val="0"/>
        <w:spacing w:line="600" w:lineRule="exact"/>
        <w:ind w:firstLine="640" w:firstLineChars="200"/>
        <w:rPr>
          <w:rFonts w:cs="Times New Roman Regular" w:asciiTheme="minorEastAsia" w:hAnsiTheme="minorEastAsia"/>
          <w:sz w:val="32"/>
          <w:szCs w:val="32"/>
        </w:rPr>
      </w:pPr>
      <w:r>
        <w:rPr>
          <w:rFonts w:hint="eastAsia" w:ascii="华文仿宋" w:hAnsi="华文仿宋" w:eastAsia="华文仿宋" w:cs="华文仿宋"/>
          <w:sz w:val="32"/>
          <w:szCs w:val="32"/>
        </w:rPr>
        <w:t>（8）完成市委、市政府和市公共资源交易管理委员会交办的其他事项。</w:t>
      </w:r>
    </w:p>
    <w:p>
      <w:pPr>
        <w:snapToGrid w:val="0"/>
        <w:spacing w:line="600" w:lineRule="exact"/>
        <w:ind w:firstLine="640" w:firstLineChars="200"/>
        <w:rPr>
          <w:rFonts w:hint="eastAsia" w:ascii="国标楷体" w:hAnsi="国标楷体" w:eastAsia="国标楷体" w:cs="国标楷体"/>
          <w:sz w:val="32"/>
          <w:szCs w:val="32"/>
        </w:rPr>
      </w:pPr>
      <w:r>
        <w:rPr>
          <w:rFonts w:hint="eastAsia" w:ascii="国标楷体" w:hAnsi="国标楷体" w:eastAsia="国标楷体" w:cs="国标楷体"/>
          <w:sz w:val="32"/>
          <w:szCs w:val="32"/>
        </w:rPr>
        <w:t>（二）部门（单位）整体支出规模、使用方向和主要内容、涉及范围等</w:t>
      </w:r>
    </w:p>
    <w:p>
      <w:pPr>
        <w:snapToGrid w:val="0"/>
        <w:spacing w:line="600" w:lineRule="exact"/>
        <w:ind w:firstLine="640" w:firstLineChars="200"/>
        <w:rPr>
          <w:rFonts w:cs="Times New Roman Regular" w:asciiTheme="minorEastAsia" w:hAnsiTheme="minorEastAsia"/>
          <w:sz w:val="32"/>
          <w:szCs w:val="32"/>
        </w:rPr>
      </w:pPr>
      <w:r>
        <w:rPr>
          <w:rFonts w:hint="eastAsia" w:ascii="华文仿宋" w:hAnsi="华文仿宋" w:eastAsia="华文仿宋" w:cs="华文仿宋"/>
          <w:sz w:val="32"/>
          <w:szCs w:val="32"/>
        </w:rPr>
        <w:t>根据《怀化市财政局关于批复下达2025年市直部门预算的通知》（怀财预〔2025〕4号），2025年我单位整体支出2643.36元，全部实行整体支出绩效目标管理，编报绩效目标的项目1个，其中：公共交易平台一体化和营商环境评价等经费1326.75万元，全部实行项目支出绩效目标管理。</w:t>
      </w:r>
    </w:p>
    <w:p>
      <w:pPr>
        <w:snapToGrid w:val="0"/>
        <w:spacing w:line="600" w:lineRule="exact"/>
        <w:ind w:firstLine="640" w:firstLineChars="200"/>
        <w:rPr>
          <w:rFonts w:hint="eastAsia" w:ascii="国标黑体" w:hAnsi="国标黑体" w:eastAsia="国标黑体" w:cs="国标黑体"/>
          <w:b w:val="0"/>
          <w:bCs w:val="0"/>
          <w:sz w:val="32"/>
          <w:szCs w:val="32"/>
        </w:rPr>
      </w:pPr>
      <w:r>
        <w:rPr>
          <w:rFonts w:hint="eastAsia" w:ascii="国标黑体" w:hAnsi="国标黑体" w:eastAsia="国标黑体" w:cs="国标黑体"/>
          <w:b w:val="0"/>
          <w:bCs w:val="0"/>
          <w:sz w:val="32"/>
          <w:szCs w:val="32"/>
        </w:rPr>
        <w:t>二、一般公共预算支出情况</w:t>
      </w:r>
    </w:p>
    <w:p>
      <w:pPr>
        <w:snapToGrid w:val="0"/>
        <w:spacing w:line="600" w:lineRule="exact"/>
        <w:ind w:firstLine="640" w:firstLineChars="200"/>
        <w:rPr>
          <w:rFonts w:hint="eastAsia" w:ascii="国标楷体" w:hAnsi="国标楷体" w:eastAsia="国标楷体" w:cs="国标楷体"/>
          <w:sz w:val="32"/>
          <w:szCs w:val="32"/>
        </w:rPr>
      </w:pPr>
      <w:r>
        <w:rPr>
          <w:rFonts w:hint="eastAsia" w:ascii="国标楷体" w:hAnsi="国标楷体" w:eastAsia="国标楷体" w:cs="国标楷体"/>
          <w:sz w:val="32"/>
          <w:szCs w:val="32"/>
        </w:rPr>
        <w:t>（一）基本支出</w:t>
      </w:r>
    </w:p>
    <w:p>
      <w:pPr>
        <w:snapToGrid w:val="0"/>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2025年基本支出年初预算1316.61万元，全年预算数1416.61万元，实际支出1403.71万元。基本支出是指为保障单位机构正常运转、完成日常工作任务而发生的各项支出，其中：基本工资305.12万元、津贴补贴0.90万元、奖金200.51万元、绩效工资234.27万元、机关事业单位基本养老保险缴费94.48万元、职业年金缴费48.40万元、职工基本医疗保险缴费36.48万元、其他社会保障缴费41.60万元、住房公积金77.24万元、其他工资福利支出148.91万元、水费0.98万元、邮电费2.48万元、差旅费14.34万元、培训费5.36万元、公务接待费0.53万元、劳务费8.29万元、委托业务费4.50万元、工会经费47.53万元、福利费17.98万元、公务用车运行维护费1.66万元、其他交通费用7.04万元、其他商品和服务支出56.69万元、生活补助25.41万元等。</w:t>
      </w:r>
    </w:p>
    <w:p>
      <w:pPr>
        <w:snapToGrid w:val="0"/>
        <w:spacing w:line="600" w:lineRule="exact"/>
        <w:ind w:firstLine="640" w:firstLineChars="200"/>
        <w:rPr>
          <w:rFonts w:cs="Times New Roman Regular" w:asciiTheme="minorEastAsia" w:hAnsiTheme="minorEastAsia"/>
          <w:sz w:val="32"/>
          <w:szCs w:val="32"/>
        </w:rPr>
      </w:pPr>
      <w:r>
        <w:rPr>
          <w:rFonts w:hint="eastAsia" w:ascii="华文仿宋" w:hAnsi="华文仿宋" w:eastAsia="华文仿宋" w:cs="华文仿宋"/>
          <w:sz w:val="32"/>
          <w:szCs w:val="32"/>
        </w:rPr>
        <w:t>2025年我单位无一般公共预算“三公”经费预算，主要原因是我单位无一般公共预算财政拨款基本支出拨款收入，也没有使用一般公共预算财政拨款基本支出拨款安排的支出。</w:t>
      </w:r>
    </w:p>
    <w:p>
      <w:pPr>
        <w:snapToGrid w:val="0"/>
        <w:spacing w:line="600" w:lineRule="exact"/>
        <w:ind w:firstLine="640" w:firstLineChars="200"/>
        <w:rPr>
          <w:rFonts w:hint="eastAsia" w:ascii="国标楷体" w:hAnsi="国标楷体" w:eastAsia="国标楷体" w:cs="国标楷体"/>
          <w:sz w:val="32"/>
          <w:szCs w:val="32"/>
        </w:rPr>
      </w:pPr>
      <w:r>
        <w:rPr>
          <w:rFonts w:hint="eastAsia" w:ascii="国标楷体" w:hAnsi="国标楷体" w:eastAsia="国标楷体" w:cs="国标楷体"/>
          <w:sz w:val="32"/>
          <w:szCs w:val="32"/>
        </w:rPr>
        <w:t>（二）项目支出</w:t>
      </w:r>
    </w:p>
    <w:p>
      <w:pPr>
        <w:snapToGrid w:val="0"/>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1.项目资金（包括财政资金、自筹资金等）安排落实、总投入等情况分析</w:t>
      </w:r>
    </w:p>
    <w:p>
      <w:pPr>
        <w:snapToGrid w:val="0"/>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2025年项目支出年初预算1326.75万元，全年预算1226.75万元，实际支出806.87万元。项目支出是指单位为完成特定行政工作任务或事业发展目标而发生的支出，包括有关事业发展专项、专项业务费、基本建设支出等。</w:t>
      </w:r>
    </w:p>
    <w:p>
      <w:pPr>
        <w:snapToGrid w:val="0"/>
        <w:spacing w:line="600" w:lineRule="exact"/>
        <w:ind w:left="640"/>
        <w:rPr>
          <w:rFonts w:hint="eastAsia" w:ascii="华文仿宋" w:hAnsi="华文仿宋" w:eastAsia="华文仿宋" w:cs="华文仿宋"/>
          <w:sz w:val="32"/>
          <w:szCs w:val="32"/>
        </w:rPr>
      </w:pPr>
      <w:r>
        <w:rPr>
          <w:rFonts w:hint="eastAsia" w:ascii="华文仿宋" w:hAnsi="华文仿宋" w:eastAsia="华文仿宋" w:cs="华文仿宋"/>
          <w:sz w:val="32"/>
          <w:szCs w:val="32"/>
        </w:rPr>
        <w:t>2.项目资金（主要指财政资金）实际使用情况分析</w:t>
      </w:r>
    </w:p>
    <w:p>
      <w:pPr>
        <w:snapToGrid w:val="0"/>
        <w:spacing w:line="600" w:lineRule="exact"/>
        <w:ind w:firstLine="640"/>
        <w:rPr>
          <w:rFonts w:hint="eastAsia" w:ascii="华文仿宋" w:hAnsi="华文仿宋" w:eastAsia="华文仿宋" w:cs="华文仿宋"/>
          <w:sz w:val="32"/>
          <w:szCs w:val="32"/>
        </w:rPr>
      </w:pPr>
      <w:r>
        <w:rPr>
          <w:rFonts w:hint="eastAsia" w:ascii="华文仿宋" w:hAnsi="华文仿宋" w:eastAsia="华文仿宋" w:cs="华文仿宋"/>
          <w:sz w:val="32"/>
          <w:szCs w:val="32"/>
        </w:rPr>
        <w:t>我单位是纳入部门预算的差额拨款公益一类事业单位，我单位无一般公共财政预算拨款资金，使用财政非税专户资金。公共交易平台一体化和营商环境评价等经费主要用于全面实现工程建设、政府采购、国有产权、自然资源四大领域项目全流程电子化交易；建成数字见证室，我市公共资源交易开启数字见证新时代；公共资源交易进入“智能辅助评标”新模式；实现跨省远程异地评标；开展数据治理，实现交易数据全省共享等；是继续提升电子化交易水平，以信息化促营商环境改善的工作经费。</w:t>
      </w:r>
    </w:p>
    <w:p>
      <w:pPr>
        <w:snapToGrid w:val="0"/>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其中，办公费5.19万元、电费44.00万元、物业管理费69.88万元、维修（护）费247.95万元、租赁费119.00万元、委托业务费79.52万元、其他商品和服务支出70.79万元、房屋建筑物构建40.16万元、办公设备购置50.38万元、信息网络及软件购置更新80.00万元。</w:t>
      </w:r>
    </w:p>
    <w:p>
      <w:pPr>
        <w:snapToGrid w:val="0"/>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3.项目资金管理情况分析，主要包括管理制度、办法的制订及执行情况。</w:t>
      </w:r>
    </w:p>
    <w:p>
      <w:pPr>
        <w:snapToGrid w:val="0"/>
        <w:spacing w:line="600" w:lineRule="exact"/>
        <w:ind w:firstLine="640"/>
        <w:rPr>
          <w:rFonts w:cs="Times New Roman Regular" w:asciiTheme="minorEastAsia" w:hAnsiTheme="minorEastAsia"/>
          <w:sz w:val="32"/>
          <w:szCs w:val="32"/>
        </w:rPr>
      </w:pPr>
      <w:r>
        <w:rPr>
          <w:rFonts w:hint="eastAsia" w:ascii="华文仿宋" w:hAnsi="华文仿宋" w:eastAsia="华文仿宋" w:cs="华文仿宋"/>
          <w:sz w:val="32"/>
          <w:szCs w:val="32"/>
        </w:rPr>
        <w:t>项目严格按照“申报—审批—实施—验收”流程推进。由项目部门按照年初财政下达的项目资金预算来进行采购，经党组会会议通过后实行，并按照政府采购程序签订合同。项目实施验收完成后，由项目部门向财务部提交有关项目报销附件。财务部门根据上述报销资料进行初审，报财务分管领导审批后提交到财政归口科室审核，经财政下指标后,按照项目进度及合同约定支付。资金支出严格执行“三重一大”决策制度，严格按照专款专用原则支付项目资金。</w:t>
      </w:r>
    </w:p>
    <w:p>
      <w:pPr>
        <w:snapToGrid w:val="0"/>
        <w:spacing w:line="600" w:lineRule="exact"/>
        <w:ind w:firstLine="640" w:firstLineChars="200"/>
        <w:rPr>
          <w:rFonts w:hint="eastAsia" w:ascii="国标黑体" w:hAnsi="国标黑体" w:eastAsia="国标黑体" w:cs="国标黑体"/>
          <w:b w:val="0"/>
          <w:bCs w:val="0"/>
          <w:sz w:val="32"/>
          <w:szCs w:val="32"/>
        </w:rPr>
      </w:pPr>
      <w:r>
        <w:rPr>
          <w:rFonts w:hint="eastAsia" w:ascii="国标黑体" w:hAnsi="国标黑体" w:eastAsia="国标黑体" w:cs="国标黑体"/>
          <w:b w:val="0"/>
          <w:bCs w:val="0"/>
          <w:sz w:val="32"/>
          <w:szCs w:val="32"/>
        </w:rPr>
        <w:t>三、项目组织实施情况</w:t>
      </w:r>
    </w:p>
    <w:p>
      <w:pPr>
        <w:snapToGrid w:val="0"/>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我单位在项目组织实施管理方面取得了显著成效。通过构建完善的项目组织体系、明确职责分工与协调机制、加强进度管理和质量管理等措施，确保了项目的顺利实施和高效推进。同时，我单位也将不断优化和完善项目实施管理的各个环节，提升电子化交易水平，改善营商环境。</w:t>
      </w:r>
    </w:p>
    <w:p>
      <w:pPr>
        <w:snapToGrid w:val="0"/>
        <w:spacing w:line="600" w:lineRule="exact"/>
        <w:ind w:firstLine="640" w:firstLineChars="200"/>
        <w:rPr>
          <w:rFonts w:cs="Times New Roman Regular" w:asciiTheme="minorEastAsia" w:hAnsiTheme="minorEastAsia"/>
          <w:sz w:val="32"/>
          <w:szCs w:val="32"/>
        </w:rPr>
      </w:pPr>
      <w:r>
        <w:rPr>
          <w:rFonts w:hint="eastAsia" w:ascii="华文仿宋" w:hAnsi="华文仿宋" w:eastAsia="华文仿宋" w:cs="华文仿宋"/>
          <w:sz w:val="32"/>
          <w:szCs w:val="32"/>
        </w:rPr>
        <w:t>在资金使用和管理方面，我单位严格按照财政制度相关要求，坚持专款专用，按项目核算，严格按照规定的范围、标准和程序，加强专项资金的使用管理，确保了专项资金使用管理的规范性、安全性和有效性。</w:t>
      </w:r>
    </w:p>
    <w:p>
      <w:pPr>
        <w:snapToGrid w:val="0"/>
        <w:spacing w:line="600" w:lineRule="exact"/>
        <w:ind w:firstLine="640" w:firstLineChars="200"/>
        <w:rPr>
          <w:rFonts w:hint="eastAsia" w:ascii="国标黑体" w:hAnsi="国标黑体" w:eastAsia="国标黑体" w:cs="国标黑体"/>
          <w:b w:val="0"/>
          <w:bCs w:val="0"/>
          <w:sz w:val="32"/>
          <w:szCs w:val="32"/>
        </w:rPr>
      </w:pPr>
      <w:r>
        <w:rPr>
          <w:rFonts w:hint="eastAsia" w:ascii="国标黑体" w:hAnsi="国标黑体" w:eastAsia="国标黑体" w:cs="国标黑体"/>
          <w:b w:val="0"/>
          <w:bCs w:val="0"/>
          <w:sz w:val="32"/>
          <w:szCs w:val="32"/>
        </w:rPr>
        <w:t>四、资产管理情况</w:t>
      </w:r>
    </w:p>
    <w:p>
      <w:pPr>
        <w:snapToGrid w:val="0"/>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资产配置、管理、处置程序严格遵循各项要求。我单位对固定资产建立了台账，对固定资产进行了分类清查和盘点，确保资产的真实性和准确性，同时加强了固定资产的维护和保养工作，提高了固定资产的使用寿命和价值。增减固定资产，严格按照机关事务局及财政局的规定和要求办理审批手续。</w:t>
      </w:r>
    </w:p>
    <w:p>
      <w:pPr>
        <w:snapToGrid w:val="0"/>
        <w:spacing w:line="600" w:lineRule="exact"/>
        <w:ind w:firstLine="640" w:firstLineChars="200"/>
        <w:rPr>
          <w:rFonts w:hint="eastAsia" w:ascii="国标黑体" w:hAnsi="国标黑体" w:eastAsia="国标黑体" w:cs="国标黑体"/>
          <w:b w:val="0"/>
          <w:bCs w:val="0"/>
          <w:sz w:val="32"/>
          <w:szCs w:val="32"/>
        </w:rPr>
      </w:pPr>
      <w:r>
        <w:rPr>
          <w:rFonts w:hint="eastAsia" w:ascii="国标黑体" w:hAnsi="国标黑体" w:eastAsia="国标黑体" w:cs="国标黑体"/>
          <w:b w:val="0"/>
          <w:bCs w:val="0"/>
          <w:sz w:val="32"/>
          <w:szCs w:val="32"/>
        </w:rPr>
        <w:t>五、政府性基金预算支出情况</w:t>
      </w:r>
    </w:p>
    <w:p>
      <w:pPr>
        <w:snapToGrid w:val="0"/>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2025年我单位无政府性基金预算支出。</w:t>
      </w:r>
    </w:p>
    <w:p>
      <w:pPr>
        <w:snapToGrid w:val="0"/>
        <w:spacing w:line="600" w:lineRule="exact"/>
        <w:ind w:firstLine="640" w:firstLineChars="200"/>
        <w:rPr>
          <w:rFonts w:hint="eastAsia" w:ascii="国标黑体" w:hAnsi="国标黑体" w:eastAsia="国标黑体" w:cs="国标黑体"/>
          <w:b w:val="0"/>
          <w:bCs w:val="0"/>
          <w:sz w:val="32"/>
          <w:szCs w:val="32"/>
        </w:rPr>
      </w:pPr>
      <w:r>
        <w:rPr>
          <w:rFonts w:hint="eastAsia" w:ascii="国标黑体" w:hAnsi="国标黑体" w:eastAsia="国标黑体" w:cs="国标黑体"/>
          <w:b w:val="0"/>
          <w:bCs w:val="0"/>
          <w:sz w:val="32"/>
          <w:szCs w:val="32"/>
        </w:rPr>
        <w:t>六、国有资本经营预算支出情况</w:t>
      </w:r>
    </w:p>
    <w:p>
      <w:pPr>
        <w:snapToGrid w:val="0"/>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2025年我单位无国有资本经营预算支出。</w:t>
      </w:r>
    </w:p>
    <w:p>
      <w:pPr>
        <w:snapToGrid w:val="0"/>
        <w:spacing w:line="600" w:lineRule="exact"/>
        <w:ind w:firstLine="640" w:firstLineChars="200"/>
        <w:rPr>
          <w:rFonts w:hint="eastAsia" w:ascii="国标黑体" w:hAnsi="国标黑体" w:eastAsia="国标黑体" w:cs="国标黑体"/>
          <w:b w:val="0"/>
          <w:bCs w:val="0"/>
          <w:sz w:val="32"/>
          <w:szCs w:val="32"/>
        </w:rPr>
      </w:pPr>
      <w:r>
        <w:rPr>
          <w:rFonts w:hint="eastAsia" w:ascii="国标黑体" w:hAnsi="国标黑体" w:eastAsia="国标黑体" w:cs="国标黑体"/>
          <w:b w:val="0"/>
          <w:bCs w:val="0"/>
          <w:sz w:val="32"/>
          <w:szCs w:val="32"/>
        </w:rPr>
        <w:t>七、社会保险基金预算支出情况</w:t>
      </w:r>
    </w:p>
    <w:p>
      <w:pPr>
        <w:snapToGrid w:val="0"/>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2025年我单位无社会保险基金预算支出。</w:t>
      </w:r>
    </w:p>
    <w:p>
      <w:pPr>
        <w:snapToGrid w:val="0"/>
        <w:spacing w:line="600" w:lineRule="exact"/>
        <w:ind w:firstLine="640" w:firstLineChars="200"/>
        <w:rPr>
          <w:rFonts w:hint="eastAsia" w:ascii="国标黑体" w:hAnsi="国标黑体" w:eastAsia="国标黑体" w:cs="国标黑体"/>
          <w:b w:val="0"/>
          <w:bCs w:val="0"/>
          <w:sz w:val="32"/>
          <w:szCs w:val="32"/>
        </w:rPr>
      </w:pPr>
      <w:r>
        <w:rPr>
          <w:rFonts w:hint="eastAsia" w:ascii="国标黑体" w:hAnsi="国标黑体" w:eastAsia="国标黑体" w:cs="国标黑体"/>
          <w:b w:val="0"/>
          <w:bCs w:val="0"/>
          <w:sz w:val="32"/>
          <w:szCs w:val="32"/>
        </w:rPr>
        <w:t>八、部门整体支出绩效情况</w:t>
      </w:r>
    </w:p>
    <w:p>
      <w:pPr>
        <w:numPr>
          <w:ilvl w:val="0"/>
          <w:numId w:val="1"/>
        </w:numPr>
        <w:snapToGrid w:val="0"/>
        <w:spacing w:line="600" w:lineRule="exact"/>
        <w:ind w:firstLine="640" w:firstLineChars="200"/>
        <w:rPr>
          <w:rFonts w:hint="eastAsia" w:ascii="国标楷体" w:hAnsi="国标楷体" w:eastAsia="国标楷体" w:cs="国标楷体"/>
          <w:sz w:val="32"/>
          <w:szCs w:val="32"/>
        </w:rPr>
      </w:pPr>
      <w:r>
        <w:rPr>
          <w:rFonts w:hint="eastAsia" w:ascii="国标楷体" w:hAnsi="国标楷体" w:eastAsia="国标楷体" w:cs="国标楷体"/>
          <w:sz w:val="32"/>
          <w:szCs w:val="32"/>
        </w:rPr>
        <w:t>综合评价结论</w:t>
      </w:r>
    </w:p>
    <w:p>
      <w:pPr>
        <w:snapToGrid w:val="0"/>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根据部门整体支出绩效评价指标规定的内容，经我单位认真自评，总评分为100分，实际得分98.36分，2025年度部门整体绩效评价为优秀。</w:t>
      </w:r>
    </w:p>
    <w:p>
      <w:pPr>
        <w:snapToGrid w:val="0"/>
        <w:spacing w:line="600" w:lineRule="exact"/>
        <w:ind w:firstLine="640" w:firstLineChars="200"/>
        <w:rPr>
          <w:rFonts w:cs="Times New Roman Regular" w:asciiTheme="minorEastAsia" w:hAnsiTheme="minorEastAsia"/>
          <w:sz w:val="32"/>
          <w:szCs w:val="32"/>
        </w:rPr>
      </w:pPr>
      <w:r>
        <w:rPr>
          <w:rFonts w:hint="eastAsia" w:ascii="华文仿宋" w:hAnsi="华文仿宋" w:eastAsia="华文仿宋" w:cs="华文仿宋"/>
          <w:sz w:val="32"/>
          <w:szCs w:val="32"/>
        </w:rPr>
        <w:t>我单位按照市级部门预决算编制通知和有关要求，按时完成预决算编制工作，并及时在网上进行预决算公开。部门整体绩效目标编制完整、合理，项目绩效目标编制明确、量化。按要求严格预算执行管理，及时足额将专项资金按指标拨付。严格执行“三公经费”预算，按要求及时公开预算、决算、绩效等信息。按要求及时、准确、全面开展资产清查工作，上报国有资产报表数据真实、准确、全面。内部控制制度健全完整并执行良好，在本年度内未出现廉政风险。</w:t>
      </w:r>
    </w:p>
    <w:p>
      <w:pPr>
        <w:numPr>
          <w:ilvl w:val="0"/>
          <w:numId w:val="2"/>
        </w:numPr>
        <w:snapToGrid w:val="0"/>
        <w:spacing w:line="600" w:lineRule="exact"/>
        <w:ind w:firstLine="640" w:firstLineChars="200"/>
        <w:rPr>
          <w:rFonts w:hint="eastAsia" w:ascii="国标楷体" w:hAnsi="国标楷体" w:eastAsia="国标楷体" w:cs="国标楷体"/>
          <w:sz w:val="32"/>
          <w:szCs w:val="32"/>
        </w:rPr>
      </w:pPr>
      <w:r>
        <w:rPr>
          <w:rFonts w:hint="eastAsia" w:ascii="国标楷体" w:hAnsi="国标楷体" w:eastAsia="国标楷体" w:cs="国标楷体"/>
          <w:sz w:val="32"/>
          <w:szCs w:val="32"/>
        </w:rPr>
        <w:t>评价指标分析</w:t>
      </w:r>
    </w:p>
    <w:p>
      <w:pPr>
        <w:snapToGrid w:val="0"/>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2025年以来，怀化市公共资源交易中心坚持以习近平新时代中国特色社会主义思想为指导，深入贯彻党的二十大、二十届三中、四中全会精神，全面落实省委省政府、市委市政府决策部署，</w:t>
      </w:r>
      <w:r>
        <w:rPr>
          <w:rFonts w:hint="eastAsia" w:ascii="华文仿宋" w:hAnsi="华文仿宋" w:eastAsia="华文仿宋" w:cs="华文仿宋"/>
          <w:sz w:val="32"/>
          <w:szCs w:val="32"/>
          <w:lang w:val="en-US" w:eastAsia="zh-CN"/>
        </w:rPr>
        <w:t>不断推进“机器管招投标”改革，</w:t>
      </w:r>
      <w:r>
        <w:rPr>
          <w:rFonts w:hint="eastAsia" w:ascii="华文仿宋" w:hAnsi="华文仿宋" w:eastAsia="华文仿宋" w:cs="华文仿宋"/>
          <w:sz w:val="32"/>
          <w:szCs w:val="32"/>
        </w:rPr>
        <w:t>紧紧围绕“建设阳光、诚信、安全、高效、人民满意的公共资源交易平台”服务目标，以党建为引领，以改革为动力，以科技为支撑，实现了交易服务质效的全面提升。</w:t>
      </w:r>
    </w:p>
    <w:p>
      <w:pPr>
        <w:snapToGrid w:val="0"/>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2025年全市完成公共资源进场交易项目1795宗，同比增长17.01%；交易总额294.92亿元，同比增长0.40%；增收资金4970.67万元，节约资金24.15亿元，交易总额位列全省14个市州第2，再创历史新高，为全市高水平开放高质量发展贡献力量。2025年度领导班子工作情况如下：</w:t>
      </w:r>
    </w:p>
    <w:p>
      <w:pPr>
        <w:spacing w:line="600" w:lineRule="exact"/>
        <w:ind w:left="64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1.筑牢政治根基，把稳发展“方向盘”</w:t>
      </w:r>
    </w:p>
    <w:p>
      <w:pPr>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1）持续强化党的创新理论武装。严格落实“第一议题”制度，组织党组会议13次、中心组集中（扩大）学习12次，深入学习贯彻《习近平谈治国理政》第五卷、习近平总书记关于党的建设的重要思想等重要论述，以及考察湖南时的重要指示批示精神，扎实开展二十届四中全会精神宣讲，坚持在深化内化转化上下功夫，用“跟进学”确保“跟着走”。</w:t>
      </w:r>
    </w:p>
    <w:p>
      <w:pPr>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2）扎实开展学习教育。制定学习教育实施方案，通过集中学习、专题党课、案例警示等多元形式，组织专题交流8次、上党课5次、举办读书班1期、开展警示教育7场，原文全文学习中央八项规定及其实施细则精神、《习近平关于加强党的作风建设论述摘编》等内容，拧紧了干部职工思想开关。对照28个问题清单等，深入自查自纠，党组及中层干部共查摆问题138个，建立“班子牵头整改、部室具体落实、专班跟踪督办”机制，召开4次党组会专题研究整改方案，明确责任主体与完成时限，8月中旬完成开标室投影设备更换等18个具体问题整改销号，实现真查真改、闭环落实。</w:t>
      </w:r>
    </w:p>
    <w:p>
      <w:pPr>
        <w:widowControl/>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3）不断压实政治责任。始终将政治建设贯穿交易工作全过程，立足实际制定2025年党组工作要点，党组书记切实扛起“第一责任人”责任，带头统筹推进重点工作；党组成员严格履行“一岗双责”，实现党建工作与业务工作同部署、同落实、同考核。聚焦“机器管招投标”“优化营商环境”等关键领域，累计解决各类突出问题36项，切实将上级决策部署转化为推动交易工作高质量发展的实际成效。落实统战、安全生产、信访、平安建设等工作责任制，加强法治建设，组织干部职工学法用法，审查合同12份，依法依规妥善处理信访遗留问题1件。</w:t>
      </w:r>
    </w:p>
    <w:p>
      <w:pPr>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4）切实规范组织生活。党组专题研究党建工作2次，党组成员围绕深入贯彻中央八项规定精神学习教育等主题讲授专题党课5次。严格执行“三会一课”等制度，组织党员集中学习6次、“一月一课一片一实践”活动12次，7月1日赴洪江区开展党性廉洁教育，传承红色基因、筑牢廉洁防线，启动党员活动室改造工作，进一步提升支部凝聚力战斗力，建强战斗堡垒。</w:t>
      </w:r>
    </w:p>
    <w:p>
      <w:pPr>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2.抓实多元重点工作，凝聚奋进“正能量”</w:t>
      </w:r>
    </w:p>
    <w:p>
      <w:pPr>
        <w:pStyle w:val="2"/>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1）强化队伍能力素质培养。制定《怀化市公共资源交易中心工作人员培训制度》，围绕招标投标法律法规、电子交易系统操作、廉洁自律准则等内容，全体干部职工参加培训学时人均达150小时以上，提升了干部职工专业素养和履职能力。5月28日组织16名青年职工开展廉洁专题座谈会，围绕清廉建设与本职工作交流研讨。评选“流动红旗部室”“服务明星”16个，通过典型引领激发干部职工服务热情。积极做好工会、群团等工作，荣获2025年全市女职工健身尊巴比赛二等奖，营造团结向上的工作氛围，激发队伍活力。</w:t>
      </w:r>
    </w:p>
    <w:p>
      <w:pPr>
        <w:widowControl/>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2）用心用情办好民生实事。落实“四下基层”制度，常态化开展“走找想促”活动，党组成员围绕“机器管招投标”改革等工作开展调研32次，收集解决问题28个。积极推进乡村振兴、社区共建帮扶工作，投入资金20.8万元，推动鹤城区凉亭坳乡杨潭村、城北街道龙塘社区发展。协助推动野桥坪组通组公路硬化项目纳入鹤城区“十五五”规划，维护安装太阳能路灯146盏，助力村集体经济增收与提升村容村貌。重点为2户监测户解决医疗就学等困难。</w:t>
      </w:r>
    </w:p>
    <w:p>
      <w:pPr>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3.聚焦主责主业，彰显服务“硬担当”</w:t>
      </w:r>
    </w:p>
    <w:p>
      <w:pPr>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1）持续增强服务重大战略能力。主动融入全省旅游发展大会等重大战略部署，精准对接项目交易需求。通过前移工作时间、优化流程等方式，提供“延时服务”328次，解决“怀化市排水管网雨污混接错接改造工程（紫东片区、湖天片区）总承包”等项目开标室预约难等实际问题42个，确保全市重点建设项目早进场、早受理、早安排、早交易，为推进“项目建设年”活动提供坚实保障。</w:t>
      </w:r>
    </w:p>
    <w:p>
      <w:pPr>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2）规范现场管理秩序。严格落实专家物理隔离措施，在全国率先推出“智能胸牌+数字见证”系统，实现评标动态远程见证，巡查人力成本降低70%，评标过程全程可追溯。6月23日使用新建评审专家专用电梯，进一步实现评标专家与其他交易主体分流，有效降低被围猎风险。实行评标专家及招标代理机构“一项目一考评”制度，截至目前，发现并报送违规问题17个，显著提升公共资源交易规范性。</w:t>
      </w:r>
    </w:p>
    <w:p>
      <w:pPr>
        <w:widowControl/>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3）纵深推进全链条监督。深入推进公共资源交易领域及招标投标领域突出问题系统整治，以“零容忍”态度打击违法违规行为。常态化压实统计监督责任，建立数据治理联动机制，开展2022年至今交易数据系统性治理，实现问题数据当日“清零”，确保数据真实准确。完善与纪检、公安等部门常态化数据共享机</w:t>
      </w:r>
      <w:r>
        <w:rPr>
          <w:rFonts w:hint="eastAsia" w:ascii="华文仿宋" w:hAnsi="华文仿宋" w:eastAsia="华文仿宋" w:cs="华文仿宋"/>
          <w:spacing w:val="-6"/>
          <w:sz w:val="32"/>
          <w:szCs w:val="32"/>
        </w:rPr>
        <w:t>制，全年配合调取查阅项目交易资料111次，</w:t>
      </w:r>
      <w:r>
        <w:rPr>
          <w:rFonts w:hint="eastAsia" w:ascii="华文仿宋" w:hAnsi="华文仿宋" w:eastAsia="华文仿宋" w:cs="华文仿宋"/>
          <w:sz w:val="32"/>
          <w:szCs w:val="32"/>
        </w:rPr>
        <w:t>较2025年提升81.96%，提供数据上万条，形成监管合力。</w:t>
      </w:r>
    </w:p>
    <w:p>
      <w:pPr>
        <w:widowControl/>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（4）不断优化营商环境。落实《湖南省2025年营商环境监测工作方案》，结合实际制定工作方案，力争“招标投标”指标进入全省总体监测单项指标前6名。全面推广电子保函（保险）应用，工程</w:t>
      </w:r>
      <w:r>
        <w:rPr>
          <w:rFonts w:hint="eastAsia" w:ascii="华文仿宋" w:hAnsi="华文仿宋" w:eastAsia="华文仿宋" w:cs="华文仿宋"/>
          <w:spacing w:val="-11"/>
          <w:sz w:val="32"/>
          <w:szCs w:val="32"/>
        </w:rPr>
        <w:t>建设项目非现金缴纳保证金占比率从去年93.05%提升至</w:t>
      </w:r>
      <w:r>
        <w:rPr>
          <w:rFonts w:hint="eastAsia" w:ascii="华文仿宋" w:hAnsi="华文仿宋" w:eastAsia="华文仿宋" w:cs="华文仿宋"/>
          <w:sz w:val="32"/>
          <w:szCs w:val="32"/>
        </w:rPr>
        <w:t>99.05%，为企业减少占用资金4.10亿元；积极推动移动数字证书（CA）全国互认，目前已对接全国30个省、直辖市的750个招标采购平台，切实降低企业交易成本。拓宽远程异地评标合作范围，在全省全覆盖的基础上，与湖北等</w:t>
      </w:r>
      <w:r>
        <w:rPr>
          <w:rFonts w:hint="eastAsia" w:ascii="华文仿宋" w:hAnsi="华文仿宋" w:eastAsia="华文仿宋" w:cs="华文仿宋"/>
          <w:spacing w:val="-11"/>
          <w:sz w:val="32"/>
          <w:szCs w:val="32"/>
        </w:rPr>
        <w:t>2省3市建立跨省协作关系。目前已完成</w:t>
      </w:r>
      <w:r>
        <w:rPr>
          <w:rFonts w:hint="eastAsia" w:ascii="华文仿宋" w:hAnsi="华文仿宋" w:eastAsia="华文仿宋" w:cs="华文仿宋"/>
          <w:spacing w:val="-6"/>
          <w:sz w:val="32"/>
          <w:szCs w:val="32"/>
        </w:rPr>
        <w:t>主场远程异地评标项目211个、副场项目71个，项目覆盖率达100%，</w:t>
      </w:r>
      <w:r>
        <w:rPr>
          <w:rFonts w:hint="eastAsia" w:ascii="华文仿宋" w:hAnsi="华文仿宋" w:eastAsia="华文仿宋" w:cs="华文仿宋"/>
          <w:sz w:val="32"/>
          <w:szCs w:val="32"/>
        </w:rPr>
        <w:t>有效打破地域壁垒，提升评标公正性与效率。</w:t>
      </w:r>
    </w:p>
    <w:p>
      <w:pPr>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4.推进全面从严治党，筑牢廉政“防火墙”</w:t>
      </w:r>
    </w:p>
    <w:p>
      <w:pPr>
        <w:widowControl/>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1）压实管党治党责任。制定2025年纪检监察工作要点及政治监督清单，全年专题研究党风廉政建设工作3次，持续加强政治生态分析研判。严格执行民主集中制，向驻市发改委纪检监察组报告“三重一大”重大事项5件，1名领导干部及2名职工主动报备个人重大事项，全年实现0违规、0违纪，公共资源交易领域政治生态风清气正。</w:t>
      </w:r>
    </w:p>
    <w:p>
      <w:pPr>
        <w:widowControl/>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2）加强廉政教育引导。打造“线上+线下”廉政教育组合，线上通过工作群转发廉政提醒、典型案例18次；线下在交易大厅、办公区打造廉政文化墙，张贴标语80余条，营造“处处见廉、时时学廉”浓厚氛围。全年开展集体廉政谈话3次，个别廉政谈话做到全覆盖，组织干部及家属开展“清风常伴廉洁齐家”座谈会，引导干部职工知敬畏、存戒惧、守底线。</w:t>
      </w:r>
    </w:p>
    <w:p>
      <w:pPr>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3）深化作风建设整治。新增《干部职工“八小时外”禁止事项清单》等制度3项，修订文稿审核、夜间评标等制度10余项，形成覆盖“八小时内履职+八小时外自律”的制度闭环。推进领导班子日常巡察工作机制，开展常态化巡察17次，整改13个问题，通报1人，形成“发现问题—督促整改—清单销号”的闭环管理。大力精简会议文件，印发文件数量、召开会议次数分别同比减少20.45%和10.7%。坚持过紧日子，严格执行“零基预算”，党建经费、宣传经费分别缩减81%和70%，“三公”经费实现持续压减，扎实推进政府化债相关工作，持续保持“零债务”良好状态。</w:t>
      </w:r>
    </w:p>
    <w:p>
      <w:pPr>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5.亮点工作</w:t>
      </w:r>
    </w:p>
    <w:p>
      <w:pPr>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1）积极推进“机器管招投标”改革。2025年2月27日，省建市用的“机器管招投标”交易系统上线试运行，该系统是人工智能技术在招投标领域应用的体现，通过数字化、模块化、逻辑内嵌的电子招标文件范本体系为牵引，构建覆盖工程建设7大行业34类评标办法的“机器管招投标”数智化平台体系。4月8日，全市首个“机器管招投标”项目——沅陵县老旧小区外城市改造，吸引了全国115家企业参与竞标。2025年，全市“机器管招投标”项目挂网共329个，完成项目交易212个。线上编辑标书、评标人工计算时长均缩短66%左右；外省企业与民营企业参与投标率达34.43%和87.56%，较改革前分别提升11.32%和3.67%；为招标人节约资金5.37亿元，平均节资率为13.36%，比传统模式（4.96%）提高了1.69倍，显著提升了交易效率、公信力、吸引力，交易监管闭环形成有效震慑，解决了招标文件“量体裁衣”和专家滥用“自由裁量权”等问题，项目交易基本实现“打不了招呼，打了招呼也没用”。</w:t>
      </w:r>
    </w:p>
    <w:p>
      <w:pPr>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2）“信用+招标代理”机制成效显著。怀化市“信用+招标代理”项目自2025年7月入选省“信用+”惠民便企场景建设项目试点以来成效显著,获评为2025年全省信用应用场景建设成果观摩特色项目。构建了“1+N”标准化体系，出台《关于开展“信用+招标代理”试点工作的实施方案》和《怀化市公共资源交易招标代理机构现场行为信用评价细则（试行）》等制度，创新“双承诺双核查”和事前防控、事中阻断、事后闭环的“三阶九步”机制，实现代理机构全流程闭环管理。建设运行怀化市公共资源交易招标代理机构信用评价管理系统+移动端扣分录入系统，实现“管理－移动－见证”规范化运行。针对招标代理机构，建立了涵盖企业履约能力、社会责任等多维度的综合信用监管全周期服务体系，为154家企业建立信用档案，实现应建尽建，招标代理机构和投标人主动信用承诺分别为276次与8832次，系统对接管理端动态评价1333个项目，精准拦截失信黑名单企业20户，不断夯实我市公共资源交易领域信用建设基础。</w:t>
      </w:r>
    </w:p>
    <w:p>
      <w:pPr>
        <w:snapToGrid w:val="0"/>
        <w:spacing w:line="600" w:lineRule="exact"/>
        <w:ind w:firstLine="640" w:firstLineChars="200"/>
        <w:rPr>
          <w:rFonts w:hint="eastAsia" w:ascii="国标黑体" w:hAnsi="国标黑体" w:eastAsia="国标黑体" w:cs="国标黑体"/>
          <w:b w:val="0"/>
          <w:bCs w:val="0"/>
          <w:sz w:val="32"/>
          <w:szCs w:val="32"/>
        </w:rPr>
      </w:pPr>
      <w:r>
        <w:rPr>
          <w:rFonts w:hint="eastAsia" w:ascii="国标黑体" w:hAnsi="国标黑体" w:eastAsia="国标黑体" w:cs="国标黑体"/>
          <w:b w:val="0"/>
          <w:bCs w:val="0"/>
          <w:sz w:val="32"/>
          <w:szCs w:val="32"/>
        </w:rPr>
        <w:t>九、存在的问题及原因分析</w:t>
      </w:r>
    </w:p>
    <w:p>
      <w:pPr>
        <w:pStyle w:val="2"/>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（一）项目支出预算执行进度不均衡，预算执行过程中，部分项目资金支出进度缓慢，而有些项目则出现资金集中支付的情况，导致整体预算执行进度不均衡。    </w:t>
      </w:r>
    </w:p>
    <w:p>
      <w:pPr>
        <w:pStyle w:val="2"/>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（二）管理制度有待完善和健全，部分预算绩效管理工作开展不到位，预算绩效管理意识有待提高，整体绩效指标中的个性化指标有待进一步完善。</w:t>
      </w:r>
    </w:p>
    <w:p>
      <w:pPr>
        <w:snapToGrid w:val="0"/>
        <w:spacing w:line="600" w:lineRule="exact"/>
        <w:ind w:firstLine="640" w:firstLineChars="200"/>
        <w:rPr>
          <w:rFonts w:hint="eastAsia" w:ascii="国标黑体" w:hAnsi="国标黑体" w:eastAsia="国标黑体" w:cs="国标黑体"/>
          <w:b w:val="0"/>
          <w:bCs w:val="0"/>
          <w:sz w:val="32"/>
          <w:szCs w:val="32"/>
        </w:rPr>
      </w:pPr>
      <w:r>
        <w:rPr>
          <w:rFonts w:hint="eastAsia" w:ascii="国标黑体" w:hAnsi="国标黑体" w:eastAsia="国标黑体" w:cs="国标黑体"/>
          <w:b w:val="0"/>
          <w:bCs w:val="0"/>
          <w:sz w:val="32"/>
          <w:szCs w:val="32"/>
        </w:rPr>
        <w:t>十、下一步改进措施</w:t>
      </w:r>
    </w:p>
    <w:p>
      <w:pPr>
        <w:snapToGrid w:val="0"/>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本着“谁支出，谁负责”的原则，我单位所有预算项目开展预算绩效日常监控，根据财政支出序时进度要求及时实现支出；定期对绩效监控信息进行收集、审核、分析、汇总；定期分析未达到绩效目标的原因，适时调整、不断改进、及时采取纠偏措施。今后将不断完善管理机制，优化管理流程，做到预算编制有目标、预算执行有监控、预算完成有评价，实现财政预算绩效管理工作常态化、规范化。严格预算约束，加快支出进度，增强预算执行的严肃性和实效性，为更好实现预算绩效目标提供有力保障。</w:t>
      </w:r>
    </w:p>
    <w:p>
      <w:pPr>
        <w:snapToGrid w:val="0"/>
        <w:spacing w:line="600" w:lineRule="exact"/>
        <w:ind w:firstLine="640" w:firstLineChars="200"/>
        <w:rPr>
          <w:rFonts w:hint="eastAsia" w:ascii="国标黑体" w:hAnsi="国标黑体" w:eastAsia="国标黑体" w:cs="国标黑体"/>
          <w:b w:val="0"/>
          <w:bCs w:val="0"/>
          <w:sz w:val="32"/>
          <w:szCs w:val="32"/>
        </w:rPr>
      </w:pPr>
      <w:r>
        <w:rPr>
          <w:rFonts w:hint="eastAsia" w:ascii="国标黑体" w:hAnsi="国标黑体" w:eastAsia="国标黑体" w:cs="国标黑体"/>
          <w:b w:val="0"/>
          <w:bCs w:val="0"/>
          <w:sz w:val="32"/>
          <w:szCs w:val="32"/>
        </w:rPr>
        <w:t>十一、绩效自评结果拟应用和公开情况</w:t>
      </w:r>
    </w:p>
    <w:p>
      <w:pPr>
        <w:snapToGrid w:val="0"/>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我单位将针对绩效自评中发现的问题，加强与相关业务部门的沟通协调，采取切实可行的整改举措并落实到位，进一步重视绩效考核激励作用，扎实做好绩效评价工作，提高财政资金使用效益。同时，按照统一部署，在我单位门户网站公开2025年部门整体支出绩效自评报告，接受社会监督。</w:t>
      </w:r>
    </w:p>
    <w:p>
      <w:pPr>
        <w:snapToGrid w:val="0"/>
        <w:spacing w:line="600" w:lineRule="exact"/>
        <w:ind w:firstLine="640" w:firstLineChars="200"/>
        <w:rPr>
          <w:rFonts w:hint="eastAsia" w:ascii="国标黑体" w:hAnsi="国标黑体" w:eastAsia="国标黑体" w:cs="国标黑体"/>
          <w:b w:val="0"/>
          <w:bCs w:val="0"/>
          <w:sz w:val="32"/>
          <w:szCs w:val="32"/>
        </w:rPr>
      </w:pPr>
      <w:r>
        <w:rPr>
          <w:rFonts w:hint="eastAsia" w:ascii="国标黑体" w:hAnsi="国标黑体" w:eastAsia="国标黑体" w:cs="国标黑体"/>
          <w:b w:val="0"/>
          <w:bCs w:val="0"/>
          <w:sz w:val="32"/>
          <w:szCs w:val="32"/>
        </w:rPr>
        <w:t>十二、其他需要说明的情况</w:t>
      </w:r>
    </w:p>
    <w:p>
      <w:pPr>
        <w:snapToGrid w:val="0"/>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无。</w:t>
      </w:r>
    </w:p>
    <w:p>
      <w:pPr>
        <w:snapToGrid w:val="0"/>
        <w:spacing w:line="600" w:lineRule="exact"/>
        <w:ind w:firstLine="640" w:firstLineChars="200"/>
        <w:rPr>
          <w:rFonts w:cs="仿宋_GB2312" w:asciiTheme="minorEastAsia" w:hAnsiTheme="minorEastAsia"/>
          <w:sz w:val="32"/>
          <w:szCs w:val="32"/>
        </w:rPr>
      </w:pPr>
    </w:p>
    <w:p>
      <w:pPr>
        <w:snapToGrid w:val="0"/>
        <w:spacing w:line="600" w:lineRule="exact"/>
        <w:ind w:firstLine="640" w:firstLineChars="200"/>
        <w:rPr>
          <w:rFonts w:hint="eastAsia" w:ascii="华文仿宋" w:hAnsi="华文仿宋" w:eastAsia="华文仿宋" w:cs="华文仿宋"/>
          <w:sz w:val="32"/>
          <w:szCs w:val="32"/>
        </w:rPr>
      </w:pPr>
      <w:bookmarkStart w:id="0" w:name="_GoBack"/>
      <w:bookmarkEnd w:id="0"/>
    </w:p>
    <w:sectPr>
      <w:footerReference r:id="rId3" w:type="default"/>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楷体_GB2312">
    <w:altName w:val="方正楷体_GBK"/>
    <w:panose1 w:val="00000000000000000000"/>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国标小标宋">
    <w:panose1 w:val="02000500000000000000"/>
    <w:charset w:val="86"/>
    <w:family w:val="auto"/>
    <w:pitch w:val="default"/>
    <w:sig w:usb0="00000001" w:usb1="08000000" w:usb2="00000000" w:usb3="00000000" w:csb0="00060007" w:csb1="00000000"/>
  </w:font>
  <w:font w:name="国标黑体">
    <w:panose1 w:val="02000500000000000000"/>
    <w:charset w:val="86"/>
    <w:family w:val="auto"/>
    <w:pitch w:val="default"/>
    <w:sig w:usb0="00000001" w:usb1="08000000" w:usb2="00000000" w:usb3="00000000" w:csb0="00040000" w:csb1="00000000"/>
  </w:font>
  <w:font w:name="国标楷体">
    <w:panose1 w:val="02000500000000000000"/>
    <w:charset w:val="86"/>
    <w:family w:val="auto"/>
    <w:pitch w:val="default"/>
    <w:sig w:usb0="00000001" w:usb1="08000000" w:usb2="00000000" w:usb3="00000000" w:csb0="00060007" w:csb1="00000000"/>
  </w:font>
  <w:font w:name="华文仿宋">
    <w:panose1 w:val="02010600040101010101"/>
    <w:charset w:val="86"/>
    <w:family w:val="auto"/>
    <w:pitch w:val="default"/>
    <w:sig w:usb0="00000287" w:usb1="080F0000" w:usb2="00000000" w:usb3="00000000" w:csb0="0004009F" w:csb1="DFD70000"/>
  </w:font>
  <w:font w:name="Times New Roman Regular">
    <w:altName w:val="DejaVu Sans"/>
    <w:panose1 w:val="00000000000000000000"/>
    <w:charset w:val="00"/>
    <w:family w:val="auto"/>
    <w:pitch w:val="default"/>
    <w:sig w:usb0="00000000" w:usb1="00000000" w:usb2="00000009" w:usb3="00000000" w:csb0="400001FF" w:csb1="FFFF0000"/>
  </w:font>
  <w:font w:name="仿宋_GB2312">
    <w:altName w:val="方正仿宋_GBK"/>
    <w:panose1 w:val="00000000000000000000"/>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仿宋_GB2312">
    <w:altName w:val="方正仿宋_GBK"/>
    <w:panose1 w:val="00000000000000000000"/>
    <w:charset w:val="86"/>
    <w:family w:val="auto"/>
    <w:pitch w:val="default"/>
    <w:sig w:usb0="00000000" w:usb1="00000000" w:usb2="00000012" w:usb3="00000000" w:csb0="00040001" w:csb1="00000000"/>
  </w:font>
  <w:font w:name="C059">
    <w:panose1 w:val="00000500000000000000"/>
    <w:charset w:val="00"/>
    <w:family w:val="auto"/>
    <w:pitch w:val="default"/>
    <w:sig w:usb0="00000287" w:usb1="00000800" w:usb2="00000000" w:usb3="00000000" w:csb0="6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ascii="方正仿宋_GB2312" w:hAnsi="方正仿宋_GB2312" w:eastAsia="方正仿宋_GB2312" w:cs="方正仿宋_GB2312"/>
                              <w:sz w:val="28"/>
                              <w:szCs w:val="28"/>
                            </w:rPr>
                            <w:t>7</w:t>
                          </w:r>
                          <w:r>
                            <w:rPr>
                              <w:rFonts w:hint="eastAsia" w:ascii="方正仿宋_GB2312" w:hAnsi="方正仿宋_GB2312" w:eastAsia="方正仿宋_GB2312" w:cs="方正仿宋_GB2312"/>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CzSVju0AAAAAUBAAAPAAAAAAAAAAEAIAAAADgAAABkcnMvZG93&#10;bnJldi54bWxQSwECFAAUAAAACACHTuJABWGMPysCAABVBAAADgAAAAAAAAABACAAAAA1AQAAZHJz&#10;L2Uyb0RvYy54bWxQSwUGAAAAAAYABgBZAQAA0gUAAAAA&#10;">
              <v:fill on="f" focussize="0,0"/>
              <v:stroke on="f" weight="0.5pt"/>
              <v:imagedata o:title=""/>
              <o:lock v:ext="edit" aspectratio="f"/>
              <v:textbox inset="0mm,0mm,0mm,0mm" style="mso-fit-shape-to-text:t;">
                <w:txbxContent>
                  <w:p>
                    <w:pPr>
                      <w:pStyle w:val="5"/>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ascii="方正仿宋_GB2312" w:hAnsi="方正仿宋_GB2312" w:eastAsia="方正仿宋_GB2312" w:cs="方正仿宋_GB2312"/>
                        <w:sz w:val="28"/>
                        <w:szCs w:val="28"/>
                      </w:rPr>
                      <w:t>7</w:t>
                    </w:r>
                    <w:r>
                      <w:rPr>
                        <w:rFonts w:hint="eastAsia" w:ascii="方正仿宋_GB2312" w:hAnsi="方正仿宋_GB2312" w:eastAsia="方正仿宋_GB2312" w:cs="方正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DE4C80"/>
    <w:multiLevelType w:val="singleLevel"/>
    <w:tmpl w:val="27DE4C80"/>
    <w:lvl w:ilvl="0" w:tentative="0">
      <w:start w:val="1"/>
      <w:numFmt w:val="chineseCounting"/>
      <w:suff w:val="nothing"/>
      <w:lvlText w:val="（%1）"/>
      <w:lvlJc w:val="left"/>
      <w:rPr>
        <w:rFonts w:hint="eastAsia"/>
      </w:rPr>
    </w:lvl>
  </w:abstractNum>
  <w:abstractNum w:abstractNumId="1">
    <w:nsid w:val="66FE7917"/>
    <w:multiLevelType w:val="singleLevel"/>
    <w:tmpl w:val="66FE7917"/>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jYmJkZTgyZjQzZTk3ZTUzMWNlNWIzZDJmYjY5OGMifQ=="/>
    <w:docVar w:name="KSO_WPS_MARK_KEY" w:val="9920a277-c0c3-43b4-93d3-1636fe398e0b"/>
  </w:docVars>
  <w:rsids>
    <w:rsidRoot w:val="753C4E9B"/>
    <w:rsid w:val="00095B91"/>
    <w:rsid w:val="000A002F"/>
    <w:rsid w:val="000A1252"/>
    <w:rsid w:val="000C3DA7"/>
    <w:rsid w:val="000D5291"/>
    <w:rsid w:val="00110FDA"/>
    <w:rsid w:val="0011528E"/>
    <w:rsid w:val="00126C42"/>
    <w:rsid w:val="001305B8"/>
    <w:rsid w:val="001314CE"/>
    <w:rsid w:val="0013356E"/>
    <w:rsid w:val="001450EF"/>
    <w:rsid w:val="00171D67"/>
    <w:rsid w:val="00175EDD"/>
    <w:rsid w:val="00183402"/>
    <w:rsid w:val="001A031F"/>
    <w:rsid w:val="00206750"/>
    <w:rsid w:val="002223CF"/>
    <w:rsid w:val="00226C84"/>
    <w:rsid w:val="002856F5"/>
    <w:rsid w:val="002A04B4"/>
    <w:rsid w:val="002A2651"/>
    <w:rsid w:val="002B79A6"/>
    <w:rsid w:val="002B7C7F"/>
    <w:rsid w:val="00302C98"/>
    <w:rsid w:val="00302DD2"/>
    <w:rsid w:val="00306A40"/>
    <w:rsid w:val="00327CB1"/>
    <w:rsid w:val="00330E26"/>
    <w:rsid w:val="00352AA5"/>
    <w:rsid w:val="00375B0A"/>
    <w:rsid w:val="003961CD"/>
    <w:rsid w:val="003A241E"/>
    <w:rsid w:val="003A46FC"/>
    <w:rsid w:val="003D098E"/>
    <w:rsid w:val="003D21B2"/>
    <w:rsid w:val="00425CAC"/>
    <w:rsid w:val="00435C6E"/>
    <w:rsid w:val="004468E7"/>
    <w:rsid w:val="00450133"/>
    <w:rsid w:val="00455329"/>
    <w:rsid w:val="00482EEF"/>
    <w:rsid w:val="004A3CAA"/>
    <w:rsid w:val="004B6BA7"/>
    <w:rsid w:val="004B79B8"/>
    <w:rsid w:val="004C593B"/>
    <w:rsid w:val="004E2D54"/>
    <w:rsid w:val="00514CE4"/>
    <w:rsid w:val="00552C18"/>
    <w:rsid w:val="00562469"/>
    <w:rsid w:val="00576CBD"/>
    <w:rsid w:val="00580350"/>
    <w:rsid w:val="00594D3F"/>
    <w:rsid w:val="005A64E2"/>
    <w:rsid w:val="005D6E2B"/>
    <w:rsid w:val="005E29B7"/>
    <w:rsid w:val="005E5B07"/>
    <w:rsid w:val="00617A8A"/>
    <w:rsid w:val="0062511F"/>
    <w:rsid w:val="00660332"/>
    <w:rsid w:val="0067581C"/>
    <w:rsid w:val="00692C30"/>
    <w:rsid w:val="006E71D4"/>
    <w:rsid w:val="0070493E"/>
    <w:rsid w:val="0071457E"/>
    <w:rsid w:val="0074212E"/>
    <w:rsid w:val="00763489"/>
    <w:rsid w:val="0077485E"/>
    <w:rsid w:val="00777D86"/>
    <w:rsid w:val="00782C04"/>
    <w:rsid w:val="00782E6C"/>
    <w:rsid w:val="007B56B9"/>
    <w:rsid w:val="0080097B"/>
    <w:rsid w:val="00831B90"/>
    <w:rsid w:val="008420B8"/>
    <w:rsid w:val="00880FDA"/>
    <w:rsid w:val="008D2007"/>
    <w:rsid w:val="00903E5F"/>
    <w:rsid w:val="00945839"/>
    <w:rsid w:val="00970D2E"/>
    <w:rsid w:val="00981F62"/>
    <w:rsid w:val="009933A9"/>
    <w:rsid w:val="009A0917"/>
    <w:rsid w:val="009A505B"/>
    <w:rsid w:val="009D04BE"/>
    <w:rsid w:val="00A179E5"/>
    <w:rsid w:val="00A21E2B"/>
    <w:rsid w:val="00A45B24"/>
    <w:rsid w:val="00A61557"/>
    <w:rsid w:val="00A66C49"/>
    <w:rsid w:val="00A904F3"/>
    <w:rsid w:val="00AC4323"/>
    <w:rsid w:val="00AD67F9"/>
    <w:rsid w:val="00B6053B"/>
    <w:rsid w:val="00B7783B"/>
    <w:rsid w:val="00BB1833"/>
    <w:rsid w:val="00C20D58"/>
    <w:rsid w:val="00C22E84"/>
    <w:rsid w:val="00CC3640"/>
    <w:rsid w:val="00CF5773"/>
    <w:rsid w:val="00D07DBA"/>
    <w:rsid w:val="00D56E08"/>
    <w:rsid w:val="00D6746C"/>
    <w:rsid w:val="00D82A7E"/>
    <w:rsid w:val="00D83564"/>
    <w:rsid w:val="00D95A73"/>
    <w:rsid w:val="00DB5D78"/>
    <w:rsid w:val="00DE3E03"/>
    <w:rsid w:val="00E442A2"/>
    <w:rsid w:val="00E62563"/>
    <w:rsid w:val="00E746AD"/>
    <w:rsid w:val="00E80D95"/>
    <w:rsid w:val="00EC1C8F"/>
    <w:rsid w:val="00EC3E32"/>
    <w:rsid w:val="00EC7902"/>
    <w:rsid w:val="00ED2AEF"/>
    <w:rsid w:val="00ED7116"/>
    <w:rsid w:val="00EF108A"/>
    <w:rsid w:val="00EF21B0"/>
    <w:rsid w:val="00F41CD4"/>
    <w:rsid w:val="00F61F1A"/>
    <w:rsid w:val="00F63F3E"/>
    <w:rsid w:val="00F8632F"/>
    <w:rsid w:val="00F91729"/>
    <w:rsid w:val="00F9323D"/>
    <w:rsid w:val="00FB22F1"/>
    <w:rsid w:val="00FF0FD5"/>
    <w:rsid w:val="018A7679"/>
    <w:rsid w:val="018D0AE9"/>
    <w:rsid w:val="01A21D6C"/>
    <w:rsid w:val="02290C40"/>
    <w:rsid w:val="02467A44"/>
    <w:rsid w:val="02BD75DA"/>
    <w:rsid w:val="02CC3DCA"/>
    <w:rsid w:val="02CE1487"/>
    <w:rsid w:val="03077138"/>
    <w:rsid w:val="030C5432"/>
    <w:rsid w:val="030F3021"/>
    <w:rsid w:val="032B7CD9"/>
    <w:rsid w:val="033E696D"/>
    <w:rsid w:val="03741F6C"/>
    <w:rsid w:val="03863E70"/>
    <w:rsid w:val="03B604E9"/>
    <w:rsid w:val="048E715A"/>
    <w:rsid w:val="04D70E27"/>
    <w:rsid w:val="053C062A"/>
    <w:rsid w:val="05785C74"/>
    <w:rsid w:val="05E95AA6"/>
    <w:rsid w:val="062B705F"/>
    <w:rsid w:val="06530982"/>
    <w:rsid w:val="066A7D90"/>
    <w:rsid w:val="066F6E3E"/>
    <w:rsid w:val="06825158"/>
    <w:rsid w:val="06DD5B44"/>
    <w:rsid w:val="06E332B7"/>
    <w:rsid w:val="076624BA"/>
    <w:rsid w:val="078828AD"/>
    <w:rsid w:val="082279B0"/>
    <w:rsid w:val="093D1541"/>
    <w:rsid w:val="0A1E0205"/>
    <w:rsid w:val="0B27056C"/>
    <w:rsid w:val="0B4765DB"/>
    <w:rsid w:val="0C180A78"/>
    <w:rsid w:val="0C4168A8"/>
    <w:rsid w:val="0C590F18"/>
    <w:rsid w:val="0CAF0888"/>
    <w:rsid w:val="0D276746"/>
    <w:rsid w:val="0D464D9C"/>
    <w:rsid w:val="0D9045E5"/>
    <w:rsid w:val="0D915FD8"/>
    <w:rsid w:val="0DB0116C"/>
    <w:rsid w:val="0DD52794"/>
    <w:rsid w:val="0E01043C"/>
    <w:rsid w:val="0E372618"/>
    <w:rsid w:val="0E956870"/>
    <w:rsid w:val="0EA65DF4"/>
    <w:rsid w:val="0EBB38BF"/>
    <w:rsid w:val="0EE5282B"/>
    <w:rsid w:val="0F242EBB"/>
    <w:rsid w:val="0F625791"/>
    <w:rsid w:val="0FC02FEF"/>
    <w:rsid w:val="10384339"/>
    <w:rsid w:val="103C540E"/>
    <w:rsid w:val="10C666A5"/>
    <w:rsid w:val="11802A42"/>
    <w:rsid w:val="11FC3C7B"/>
    <w:rsid w:val="12071360"/>
    <w:rsid w:val="1213563A"/>
    <w:rsid w:val="12151ECE"/>
    <w:rsid w:val="1223366A"/>
    <w:rsid w:val="12645AF3"/>
    <w:rsid w:val="126D6927"/>
    <w:rsid w:val="12865C3B"/>
    <w:rsid w:val="12CB20B3"/>
    <w:rsid w:val="13596EAB"/>
    <w:rsid w:val="13702B73"/>
    <w:rsid w:val="138403CC"/>
    <w:rsid w:val="13B14444"/>
    <w:rsid w:val="143877FD"/>
    <w:rsid w:val="1472415E"/>
    <w:rsid w:val="14C75888"/>
    <w:rsid w:val="15637209"/>
    <w:rsid w:val="158B3BF8"/>
    <w:rsid w:val="16090E6F"/>
    <w:rsid w:val="16355420"/>
    <w:rsid w:val="165A7400"/>
    <w:rsid w:val="16822038"/>
    <w:rsid w:val="169C37CB"/>
    <w:rsid w:val="16BB05C9"/>
    <w:rsid w:val="16E13640"/>
    <w:rsid w:val="16FD6993"/>
    <w:rsid w:val="1700759E"/>
    <w:rsid w:val="176A6FE5"/>
    <w:rsid w:val="1791130A"/>
    <w:rsid w:val="17C66384"/>
    <w:rsid w:val="17FCFFF6"/>
    <w:rsid w:val="18194E5B"/>
    <w:rsid w:val="18ED431E"/>
    <w:rsid w:val="18F06FEA"/>
    <w:rsid w:val="193A4B2E"/>
    <w:rsid w:val="1965563C"/>
    <w:rsid w:val="197B5111"/>
    <w:rsid w:val="19837F1B"/>
    <w:rsid w:val="19E805B2"/>
    <w:rsid w:val="1A04275F"/>
    <w:rsid w:val="1AC714F1"/>
    <w:rsid w:val="1BB27AA1"/>
    <w:rsid w:val="1BE51C24"/>
    <w:rsid w:val="1BFD6F6E"/>
    <w:rsid w:val="1C6E7E6B"/>
    <w:rsid w:val="1C7F3E27"/>
    <w:rsid w:val="1C8566EE"/>
    <w:rsid w:val="1CAC629E"/>
    <w:rsid w:val="1CBF872E"/>
    <w:rsid w:val="1CD344D8"/>
    <w:rsid w:val="1CF0262F"/>
    <w:rsid w:val="1CF810CC"/>
    <w:rsid w:val="1E601A36"/>
    <w:rsid w:val="1ECC0E79"/>
    <w:rsid w:val="1F31278E"/>
    <w:rsid w:val="1F533A49"/>
    <w:rsid w:val="1F576995"/>
    <w:rsid w:val="1F62533A"/>
    <w:rsid w:val="1FF40A7E"/>
    <w:rsid w:val="20126D60"/>
    <w:rsid w:val="203F49D7"/>
    <w:rsid w:val="205D1159"/>
    <w:rsid w:val="20851E61"/>
    <w:rsid w:val="20B56069"/>
    <w:rsid w:val="21040C2B"/>
    <w:rsid w:val="220426D8"/>
    <w:rsid w:val="220B3A67"/>
    <w:rsid w:val="22235254"/>
    <w:rsid w:val="222C5B8B"/>
    <w:rsid w:val="22323BCB"/>
    <w:rsid w:val="224439AE"/>
    <w:rsid w:val="227E2874"/>
    <w:rsid w:val="22FE234B"/>
    <w:rsid w:val="23072219"/>
    <w:rsid w:val="23CD191B"/>
    <w:rsid w:val="24216EEB"/>
    <w:rsid w:val="24457704"/>
    <w:rsid w:val="2498613B"/>
    <w:rsid w:val="25517EDB"/>
    <w:rsid w:val="25897AC4"/>
    <w:rsid w:val="25CE1002"/>
    <w:rsid w:val="25F63A4B"/>
    <w:rsid w:val="26AB6098"/>
    <w:rsid w:val="277E6F02"/>
    <w:rsid w:val="27814EF7"/>
    <w:rsid w:val="27870033"/>
    <w:rsid w:val="27EB6814"/>
    <w:rsid w:val="28930410"/>
    <w:rsid w:val="28E219C5"/>
    <w:rsid w:val="28EB63A0"/>
    <w:rsid w:val="290B259E"/>
    <w:rsid w:val="295D729E"/>
    <w:rsid w:val="2976489F"/>
    <w:rsid w:val="2995635F"/>
    <w:rsid w:val="29990575"/>
    <w:rsid w:val="2A0B6CFA"/>
    <w:rsid w:val="2A626118"/>
    <w:rsid w:val="2AB1497C"/>
    <w:rsid w:val="2AF6742D"/>
    <w:rsid w:val="2B193CEA"/>
    <w:rsid w:val="2B3C17C4"/>
    <w:rsid w:val="2B82123D"/>
    <w:rsid w:val="2C500F73"/>
    <w:rsid w:val="2CDC2780"/>
    <w:rsid w:val="2CE61358"/>
    <w:rsid w:val="2CF9016D"/>
    <w:rsid w:val="2D157E8F"/>
    <w:rsid w:val="2D1A2751"/>
    <w:rsid w:val="2D3E0EB4"/>
    <w:rsid w:val="2D4C1B03"/>
    <w:rsid w:val="2DB63A2B"/>
    <w:rsid w:val="2E764C99"/>
    <w:rsid w:val="2F1458EF"/>
    <w:rsid w:val="2F1F0B51"/>
    <w:rsid w:val="2F90084E"/>
    <w:rsid w:val="2FA86931"/>
    <w:rsid w:val="2FEC58C6"/>
    <w:rsid w:val="309A7A3E"/>
    <w:rsid w:val="30BD4AC6"/>
    <w:rsid w:val="30D06101"/>
    <w:rsid w:val="312A2265"/>
    <w:rsid w:val="31745184"/>
    <w:rsid w:val="317A4765"/>
    <w:rsid w:val="31C14142"/>
    <w:rsid w:val="31DC0D66"/>
    <w:rsid w:val="32344FAC"/>
    <w:rsid w:val="329218AB"/>
    <w:rsid w:val="33020B14"/>
    <w:rsid w:val="3339603D"/>
    <w:rsid w:val="333F3E43"/>
    <w:rsid w:val="336D2B84"/>
    <w:rsid w:val="337C0FFF"/>
    <w:rsid w:val="33AD634D"/>
    <w:rsid w:val="34565FCE"/>
    <w:rsid w:val="34C75A4A"/>
    <w:rsid w:val="34D914C4"/>
    <w:rsid w:val="353B58E2"/>
    <w:rsid w:val="35870510"/>
    <w:rsid w:val="35CF5088"/>
    <w:rsid w:val="360168C5"/>
    <w:rsid w:val="3619279E"/>
    <w:rsid w:val="361A4C88"/>
    <w:rsid w:val="36213401"/>
    <w:rsid w:val="36C7044C"/>
    <w:rsid w:val="36C85C26"/>
    <w:rsid w:val="36E42DAC"/>
    <w:rsid w:val="36FC0F5D"/>
    <w:rsid w:val="37182A56"/>
    <w:rsid w:val="375773F8"/>
    <w:rsid w:val="37B00EE0"/>
    <w:rsid w:val="37C156A9"/>
    <w:rsid w:val="37E312B6"/>
    <w:rsid w:val="37E74B44"/>
    <w:rsid w:val="38213B8C"/>
    <w:rsid w:val="38284F1B"/>
    <w:rsid w:val="382E27FC"/>
    <w:rsid w:val="382F7AF7"/>
    <w:rsid w:val="384C5DF5"/>
    <w:rsid w:val="38BF587F"/>
    <w:rsid w:val="38ED43BF"/>
    <w:rsid w:val="38F042A5"/>
    <w:rsid w:val="39047736"/>
    <w:rsid w:val="393E32BB"/>
    <w:rsid w:val="3A97102A"/>
    <w:rsid w:val="3AB4576D"/>
    <w:rsid w:val="3AF25F2C"/>
    <w:rsid w:val="3B1B0D67"/>
    <w:rsid w:val="3B6B3A9C"/>
    <w:rsid w:val="3BB96E2F"/>
    <w:rsid w:val="3C413397"/>
    <w:rsid w:val="3C723D61"/>
    <w:rsid w:val="3D3879AE"/>
    <w:rsid w:val="3D78424E"/>
    <w:rsid w:val="3DB715CA"/>
    <w:rsid w:val="3DBDBCB3"/>
    <w:rsid w:val="3E221208"/>
    <w:rsid w:val="3EC13D69"/>
    <w:rsid w:val="3EE33949"/>
    <w:rsid w:val="3EFDDE87"/>
    <w:rsid w:val="3F0833B0"/>
    <w:rsid w:val="3FB157F6"/>
    <w:rsid w:val="3FE27130"/>
    <w:rsid w:val="40095632"/>
    <w:rsid w:val="400A523F"/>
    <w:rsid w:val="407F76A2"/>
    <w:rsid w:val="40DA7E76"/>
    <w:rsid w:val="41197AF6"/>
    <w:rsid w:val="41575537"/>
    <w:rsid w:val="41960039"/>
    <w:rsid w:val="419B2857"/>
    <w:rsid w:val="41BB6E00"/>
    <w:rsid w:val="41D71DA8"/>
    <w:rsid w:val="42664FBD"/>
    <w:rsid w:val="426B5D0D"/>
    <w:rsid w:val="42C43A92"/>
    <w:rsid w:val="430E16AD"/>
    <w:rsid w:val="43120CA1"/>
    <w:rsid w:val="43553FA0"/>
    <w:rsid w:val="438C6476"/>
    <w:rsid w:val="439E6E16"/>
    <w:rsid w:val="43CF26F8"/>
    <w:rsid w:val="441445A5"/>
    <w:rsid w:val="44C85ABB"/>
    <w:rsid w:val="45012D7B"/>
    <w:rsid w:val="456A42E1"/>
    <w:rsid w:val="457C0EFB"/>
    <w:rsid w:val="46591D79"/>
    <w:rsid w:val="466727DF"/>
    <w:rsid w:val="46A61E2C"/>
    <w:rsid w:val="46D71FE6"/>
    <w:rsid w:val="46ED7553"/>
    <w:rsid w:val="470D6C14"/>
    <w:rsid w:val="47701FEB"/>
    <w:rsid w:val="477C436F"/>
    <w:rsid w:val="47863C40"/>
    <w:rsid w:val="47C87C98"/>
    <w:rsid w:val="47FE53CC"/>
    <w:rsid w:val="48594C7C"/>
    <w:rsid w:val="48BB7D26"/>
    <w:rsid w:val="49670529"/>
    <w:rsid w:val="4999150E"/>
    <w:rsid w:val="4A78588E"/>
    <w:rsid w:val="4A7B230B"/>
    <w:rsid w:val="4A8E3303"/>
    <w:rsid w:val="4AB362CC"/>
    <w:rsid w:val="4B235061"/>
    <w:rsid w:val="4B7A5635"/>
    <w:rsid w:val="4C0010D8"/>
    <w:rsid w:val="4C343F17"/>
    <w:rsid w:val="4C6611ED"/>
    <w:rsid w:val="4C9F2E67"/>
    <w:rsid w:val="4CB64A77"/>
    <w:rsid w:val="4D010871"/>
    <w:rsid w:val="4D275349"/>
    <w:rsid w:val="4D5D3BD3"/>
    <w:rsid w:val="4DA42E3E"/>
    <w:rsid w:val="4E006DA4"/>
    <w:rsid w:val="4E1C0C26"/>
    <w:rsid w:val="4E807407"/>
    <w:rsid w:val="4EB7F892"/>
    <w:rsid w:val="4EF84368"/>
    <w:rsid w:val="4F1A755C"/>
    <w:rsid w:val="4F1F277C"/>
    <w:rsid w:val="4FE24FA4"/>
    <w:rsid w:val="50264753"/>
    <w:rsid w:val="50324731"/>
    <w:rsid w:val="50770396"/>
    <w:rsid w:val="51220301"/>
    <w:rsid w:val="513D1190"/>
    <w:rsid w:val="51B51175"/>
    <w:rsid w:val="51D102B2"/>
    <w:rsid w:val="51F3430E"/>
    <w:rsid w:val="52A46993"/>
    <w:rsid w:val="52BC4786"/>
    <w:rsid w:val="52C13A04"/>
    <w:rsid w:val="52E934AC"/>
    <w:rsid w:val="538C4C81"/>
    <w:rsid w:val="53BD2563"/>
    <w:rsid w:val="53EF7801"/>
    <w:rsid w:val="53F31090"/>
    <w:rsid w:val="5486329D"/>
    <w:rsid w:val="54A01FF8"/>
    <w:rsid w:val="552503C0"/>
    <w:rsid w:val="552A0475"/>
    <w:rsid w:val="552F7491"/>
    <w:rsid w:val="557D4A95"/>
    <w:rsid w:val="559E39E2"/>
    <w:rsid w:val="55CC16A6"/>
    <w:rsid w:val="560B5B9C"/>
    <w:rsid w:val="562B7C58"/>
    <w:rsid w:val="564638E1"/>
    <w:rsid w:val="56737851"/>
    <w:rsid w:val="56D843E7"/>
    <w:rsid w:val="572172AD"/>
    <w:rsid w:val="57364B06"/>
    <w:rsid w:val="578D10CB"/>
    <w:rsid w:val="58187B81"/>
    <w:rsid w:val="588D4BFA"/>
    <w:rsid w:val="58DD25BE"/>
    <w:rsid w:val="59240D93"/>
    <w:rsid w:val="594A2AEB"/>
    <w:rsid w:val="5958305D"/>
    <w:rsid w:val="59CB0B12"/>
    <w:rsid w:val="5A1460F3"/>
    <w:rsid w:val="5A315E5B"/>
    <w:rsid w:val="5A3A490E"/>
    <w:rsid w:val="5A5915AC"/>
    <w:rsid w:val="5A806BFB"/>
    <w:rsid w:val="5A8831DA"/>
    <w:rsid w:val="5ABBC979"/>
    <w:rsid w:val="5ACD10FB"/>
    <w:rsid w:val="5ACD4674"/>
    <w:rsid w:val="5B2630E4"/>
    <w:rsid w:val="5B3666C6"/>
    <w:rsid w:val="5BDE0628"/>
    <w:rsid w:val="5BFC7B3B"/>
    <w:rsid w:val="5C0F2DC3"/>
    <w:rsid w:val="5C167710"/>
    <w:rsid w:val="5C2F421A"/>
    <w:rsid w:val="5C6217A0"/>
    <w:rsid w:val="5C982D46"/>
    <w:rsid w:val="5CCE050A"/>
    <w:rsid w:val="5DC34C1A"/>
    <w:rsid w:val="5DFA3908"/>
    <w:rsid w:val="5E323B4E"/>
    <w:rsid w:val="5E77C7C6"/>
    <w:rsid w:val="5E7A5C08"/>
    <w:rsid w:val="5EA066A1"/>
    <w:rsid w:val="5EAC56AE"/>
    <w:rsid w:val="5EDA66BF"/>
    <w:rsid w:val="5F0F12C4"/>
    <w:rsid w:val="5F127074"/>
    <w:rsid w:val="5F5A0C98"/>
    <w:rsid w:val="5FF67529"/>
    <w:rsid w:val="5FFFAAE0"/>
    <w:rsid w:val="604858AA"/>
    <w:rsid w:val="60A103D3"/>
    <w:rsid w:val="62466743"/>
    <w:rsid w:val="625933C2"/>
    <w:rsid w:val="629C7113"/>
    <w:rsid w:val="638B61DA"/>
    <w:rsid w:val="639A641D"/>
    <w:rsid w:val="64550ED7"/>
    <w:rsid w:val="64CF567C"/>
    <w:rsid w:val="6580738E"/>
    <w:rsid w:val="65870C23"/>
    <w:rsid w:val="65AF1C1C"/>
    <w:rsid w:val="65D31F2E"/>
    <w:rsid w:val="661E3335"/>
    <w:rsid w:val="662D7608"/>
    <w:rsid w:val="66347B2F"/>
    <w:rsid w:val="66427B3E"/>
    <w:rsid w:val="664663E8"/>
    <w:rsid w:val="667A315A"/>
    <w:rsid w:val="667FD72C"/>
    <w:rsid w:val="66FA5C7E"/>
    <w:rsid w:val="67BD26DA"/>
    <w:rsid w:val="68231236"/>
    <w:rsid w:val="689245C1"/>
    <w:rsid w:val="68AD274F"/>
    <w:rsid w:val="68EF4822"/>
    <w:rsid w:val="690C1B6B"/>
    <w:rsid w:val="694F1A58"/>
    <w:rsid w:val="699C1543"/>
    <w:rsid w:val="69D23162"/>
    <w:rsid w:val="69F858DF"/>
    <w:rsid w:val="6A050368"/>
    <w:rsid w:val="6A12486A"/>
    <w:rsid w:val="6A12716B"/>
    <w:rsid w:val="6A4E3ABD"/>
    <w:rsid w:val="6A892D47"/>
    <w:rsid w:val="6ABE64BE"/>
    <w:rsid w:val="6B5F16C5"/>
    <w:rsid w:val="6B87197D"/>
    <w:rsid w:val="6C2B409A"/>
    <w:rsid w:val="6C4C1071"/>
    <w:rsid w:val="6C6546D2"/>
    <w:rsid w:val="6CC14A1B"/>
    <w:rsid w:val="6CED5810"/>
    <w:rsid w:val="6CF3EA5A"/>
    <w:rsid w:val="6D2D20B0"/>
    <w:rsid w:val="6D605FE2"/>
    <w:rsid w:val="6D9D7236"/>
    <w:rsid w:val="6E0472B5"/>
    <w:rsid w:val="6ED02ACD"/>
    <w:rsid w:val="6ED547AD"/>
    <w:rsid w:val="70A7182D"/>
    <w:rsid w:val="70B052EC"/>
    <w:rsid w:val="70BC0C6D"/>
    <w:rsid w:val="710A39B3"/>
    <w:rsid w:val="71687B5B"/>
    <w:rsid w:val="716F59BA"/>
    <w:rsid w:val="71871854"/>
    <w:rsid w:val="72AC0479"/>
    <w:rsid w:val="72DD5943"/>
    <w:rsid w:val="72E53903"/>
    <w:rsid w:val="734168B5"/>
    <w:rsid w:val="73BC327A"/>
    <w:rsid w:val="74157242"/>
    <w:rsid w:val="74A4374A"/>
    <w:rsid w:val="74A8783F"/>
    <w:rsid w:val="74E40210"/>
    <w:rsid w:val="74FD4A5E"/>
    <w:rsid w:val="750875AC"/>
    <w:rsid w:val="753B3329"/>
    <w:rsid w:val="753C4E9B"/>
    <w:rsid w:val="754E12AC"/>
    <w:rsid w:val="7570799D"/>
    <w:rsid w:val="75973F1C"/>
    <w:rsid w:val="759C3D2B"/>
    <w:rsid w:val="75E561D8"/>
    <w:rsid w:val="764F12E9"/>
    <w:rsid w:val="768F5B89"/>
    <w:rsid w:val="769B7804"/>
    <w:rsid w:val="76B15B00"/>
    <w:rsid w:val="76F263F7"/>
    <w:rsid w:val="77436940"/>
    <w:rsid w:val="77613082"/>
    <w:rsid w:val="779FCBF0"/>
    <w:rsid w:val="77F7E21B"/>
    <w:rsid w:val="781113A7"/>
    <w:rsid w:val="782303E7"/>
    <w:rsid w:val="784E0831"/>
    <w:rsid w:val="78D16192"/>
    <w:rsid w:val="791E6510"/>
    <w:rsid w:val="799314ED"/>
    <w:rsid w:val="79D51B05"/>
    <w:rsid w:val="79E2F975"/>
    <w:rsid w:val="79F532FD"/>
    <w:rsid w:val="79FF3026"/>
    <w:rsid w:val="7A146AD1"/>
    <w:rsid w:val="7A28257D"/>
    <w:rsid w:val="7A8F6158"/>
    <w:rsid w:val="7AF2228E"/>
    <w:rsid w:val="7B3BDBF2"/>
    <w:rsid w:val="7BD858DD"/>
    <w:rsid w:val="7C030BAC"/>
    <w:rsid w:val="7C2177D7"/>
    <w:rsid w:val="7C393B59"/>
    <w:rsid w:val="7C8D4A41"/>
    <w:rsid w:val="7D5E1424"/>
    <w:rsid w:val="7DA10339"/>
    <w:rsid w:val="7DD24CD9"/>
    <w:rsid w:val="7DEE7639"/>
    <w:rsid w:val="7E0E55E6"/>
    <w:rsid w:val="7E6A2B1A"/>
    <w:rsid w:val="7E6B28C4"/>
    <w:rsid w:val="7EBD7AF1"/>
    <w:rsid w:val="7EBDCBBF"/>
    <w:rsid w:val="7EC02D84"/>
    <w:rsid w:val="7EC74CC1"/>
    <w:rsid w:val="7ECA59B1"/>
    <w:rsid w:val="7EE6408F"/>
    <w:rsid w:val="7F2215D5"/>
    <w:rsid w:val="7F27031D"/>
    <w:rsid w:val="7F3EB32E"/>
    <w:rsid w:val="7F5F3F3B"/>
    <w:rsid w:val="7F5FE5E8"/>
    <w:rsid w:val="7F674E25"/>
    <w:rsid w:val="7F69341C"/>
    <w:rsid w:val="7F7C5BBA"/>
    <w:rsid w:val="7F7FC8C5"/>
    <w:rsid w:val="7F8918B0"/>
    <w:rsid w:val="7FFDE9AB"/>
    <w:rsid w:val="7FFEB77D"/>
    <w:rsid w:val="7FFFADA2"/>
    <w:rsid w:val="93310F14"/>
    <w:rsid w:val="9ED5792A"/>
    <w:rsid w:val="AEFFB886"/>
    <w:rsid w:val="BEFF7926"/>
    <w:rsid w:val="BFBF8B6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keepNext/>
      <w:keepLines/>
      <w:spacing w:line="560" w:lineRule="exact"/>
      <w:ind w:firstLine="200" w:firstLineChars="200"/>
      <w:outlineLvl w:val="1"/>
    </w:pPr>
    <w:rPr>
      <w:rFonts w:eastAsia="楷体_GB2312" w:asciiTheme="majorHAnsi" w:hAnsiTheme="majorHAnsi" w:cstheme="majorBidi"/>
      <w:bCs/>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unhideWhenUsed/>
    <w:qFormat/>
    <w:uiPriority w:val="39"/>
  </w:style>
  <w:style w:type="paragraph" w:styleId="4">
    <w:name w:val="Body Text Indent"/>
    <w:basedOn w:val="1"/>
    <w:unhideWhenUsed/>
    <w:qFormat/>
    <w:uiPriority w:val="0"/>
    <w:pPr>
      <w:ind w:firstLine="640" w:firstLineChars="200"/>
    </w:pPr>
    <w:rPr>
      <w:sz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0"/>
    <w:pPr>
      <w:spacing w:beforeAutospacing="1" w:afterAutospacing="1"/>
      <w:jc w:val="left"/>
    </w:pPr>
    <w:rPr>
      <w:rFonts w:cs="Times New Roman"/>
      <w:kern w:val="0"/>
      <w:sz w:val="24"/>
    </w:rPr>
  </w:style>
  <w:style w:type="paragraph" w:styleId="8">
    <w:name w:val="Body Text First Indent 2"/>
    <w:basedOn w:val="4"/>
    <w:unhideWhenUsed/>
    <w:qFormat/>
    <w:uiPriority w:val="99"/>
    <w:pPr>
      <w:ind w:firstLine="42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标题1"/>
    <w:basedOn w:val="3"/>
    <w:qFormat/>
    <w:uiPriority w:val="0"/>
    <w:rPr>
      <w:rFonts w:eastAsia="黑体"/>
    </w:rPr>
  </w:style>
  <w:style w:type="paragraph" w:customStyle="1" w:styleId="13">
    <w:name w:val="首行缩进"/>
    <w:basedOn w:val="1"/>
    <w:qFormat/>
    <w:uiPriority w:val="0"/>
    <w:pPr>
      <w:ind w:firstLine="480" w:firstLineChars="200"/>
    </w:pPr>
    <w:rPr>
      <w:lang w:val="zh-CN"/>
    </w:rPr>
  </w:style>
  <w:style w:type="paragraph" w:customStyle="1" w:styleId="14">
    <w:name w:val="4正文"/>
    <w:basedOn w:val="1"/>
    <w:link w:val="15"/>
    <w:qFormat/>
    <w:uiPriority w:val="0"/>
    <w:pPr>
      <w:snapToGrid w:val="0"/>
      <w:spacing w:line="440" w:lineRule="exact"/>
      <w:ind w:firstLine="200" w:firstLineChars="200"/>
    </w:pPr>
    <w:rPr>
      <w:rFonts w:ascii="Times New Roman" w:hAnsi="Times New Roman" w:eastAsia="宋体"/>
      <w:sz w:val="24"/>
      <w:szCs w:val="22"/>
    </w:rPr>
  </w:style>
  <w:style w:type="character" w:customStyle="1" w:styleId="15">
    <w:name w:val="4正文 字符"/>
    <w:basedOn w:val="11"/>
    <w:link w:val="14"/>
    <w:qFormat/>
    <w:uiPriority w:val="0"/>
    <w:rPr>
      <w:rFonts w:cstheme="minorBidi"/>
      <w:kern w:val="2"/>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16</Pages>
  <Words>7062</Words>
  <Characters>7503</Characters>
  <Lines>53</Lines>
  <Paragraphs>15</Paragraphs>
  <TotalTime>6</TotalTime>
  <ScaleCrop>false</ScaleCrop>
  <LinksUpToDate>false</LinksUpToDate>
  <CharactersWithSpaces>7505</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2024-02-24T02:03:00Z</dcterms:created>
  <dc:creator>1402836399</dc:creator>
  <cp:lastModifiedBy>kylin</cp:lastModifiedBy>
  <cp:lastPrinted>2025-07-08T00:32:00Z</cp:lastPrinted>
  <dcterms:modified xsi:type="dcterms:W3CDTF">2026-09-30T16:33:57Z</dcterms:modified>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22B4655FCFAA640CD8BDBC6A77B23440</vt:lpwstr>
  </property>
  <property fmtid="{D5CDD505-2E9C-101B-9397-08002B2CF9AE}" pid="4" name="KSOTemplateDocerSaveRecord">
    <vt:lpwstr>eyJoZGlkIjoiOGQ1YjlhYWVlZGI5N2JlYzUzOWE1YTA0YjFlMzE0MWUiLCJ1c2VySWQiOiI2Mzc4MDIwOTAifQ==</vt:lpwstr>
  </property>
</Properties>
</file>