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48A4A">
      <w:pPr>
        <w:jc w:val="center"/>
        <w:rPr>
          <w:rFonts w:hint="eastAsia" w:ascii="黑体" w:hAnsi="黑体" w:eastAsia="黑体" w:cs="黑体"/>
          <w:b w:val="0"/>
          <w:bCs/>
          <w:sz w:val="40"/>
          <w:szCs w:val="40"/>
        </w:rPr>
      </w:pPr>
      <w:r>
        <w:rPr>
          <w:rFonts w:hint="eastAsia" w:ascii="黑体" w:hAnsi="黑体" w:eastAsia="黑体" w:cs="黑体"/>
          <w:b w:val="0"/>
          <w:bCs/>
          <w:sz w:val="40"/>
          <w:szCs w:val="40"/>
        </w:rPr>
        <w:t>2025年度怀化市公共资源交易中心</w:t>
      </w:r>
    </w:p>
    <w:p w14:paraId="55331AF5">
      <w:pPr>
        <w:jc w:val="center"/>
        <w:rPr>
          <w:rFonts w:hint="eastAsia" w:ascii="黑体" w:hAnsi="黑体" w:eastAsia="黑体" w:cs="黑体"/>
          <w:b w:val="0"/>
          <w:bCs/>
          <w:sz w:val="40"/>
          <w:szCs w:val="40"/>
        </w:rPr>
      </w:pPr>
      <w:r>
        <w:rPr>
          <w:rFonts w:hint="eastAsia" w:ascii="黑体" w:hAnsi="黑体" w:eastAsia="黑体" w:cs="黑体"/>
          <w:b w:val="0"/>
          <w:bCs/>
          <w:sz w:val="40"/>
          <w:szCs w:val="40"/>
        </w:rPr>
        <w:t>项目支出自评结果汇总分析报告</w:t>
      </w:r>
    </w:p>
    <w:p w14:paraId="52EAFDEA">
      <w:pPr>
        <w:pStyle w:val="2"/>
        <w:rPr>
          <w:rFonts w:hint="eastAsia"/>
        </w:rPr>
      </w:pPr>
    </w:p>
    <w:p w14:paraId="4BCC6267">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为切实做好202</w:t>
      </w:r>
      <w:r>
        <w:rPr>
          <w:rFonts w:ascii="仿宋" w:hAnsi="仿宋" w:eastAsia="仿宋" w:cs="Times New Roman Regular"/>
          <w:sz w:val="32"/>
          <w:szCs w:val="32"/>
        </w:rPr>
        <w:t>5</w:t>
      </w:r>
      <w:r>
        <w:rPr>
          <w:rFonts w:hint="eastAsia" w:ascii="仿宋" w:hAnsi="仿宋" w:eastAsia="仿宋" w:cs="Times New Roman Regular"/>
          <w:sz w:val="32"/>
          <w:szCs w:val="32"/>
        </w:rPr>
        <w:t>年度项目支出绩效评价工作，强化绩效和责任意识，提高财政资金使用效益，根据《怀化市财政局关于开展202</w:t>
      </w:r>
      <w:r>
        <w:rPr>
          <w:rFonts w:ascii="仿宋" w:hAnsi="仿宋" w:eastAsia="仿宋" w:cs="Times New Roman Regular"/>
          <w:sz w:val="32"/>
          <w:szCs w:val="32"/>
        </w:rPr>
        <w:t>5</w:t>
      </w:r>
      <w:r>
        <w:rPr>
          <w:rFonts w:hint="eastAsia" w:ascii="仿宋" w:hAnsi="仿宋" w:eastAsia="仿宋" w:cs="Times New Roman Regular"/>
          <w:sz w:val="32"/>
          <w:szCs w:val="32"/>
        </w:rPr>
        <w:t>年度市级预算部门绩效自评和部门评价的通知》（怀财绩〔202</w:t>
      </w:r>
      <w:r>
        <w:rPr>
          <w:rFonts w:ascii="仿宋" w:hAnsi="仿宋" w:eastAsia="仿宋" w:cs="Times New Roman Regular"/>
          <w:sz w:val="32"/>
          <w:szCs w:val="32"/>
        </w:rPr>
        <w:t>6</w:t>
      </w:r>
      <w:r>
        <w:rPr>
          <w:rFonts w:hint="eastAsia" w:ascii="仿宋" w:hAnsi="仿宋" w:eastAsia="仿宋" w:cs="Times New Roman Regular"/>
          <w:sz w:val="32"/>
          <w:szCs w:val="32"/>
        </w:rPr>
        <w:t>〕3</w:t>
      </w:r>
      <w:r>
        <w:rPr>
          <w:rFonts w:ascii="仿宋" w:hAnsi="仿宋" w:eastAsia="仿宋" w:cs="Times New Roman Regular"/>
          <w:sz w:val="32"/>
          <w:szCs w:val="32"/>
        </w:rPr>
        <w:t>6</w:t>
      </w:r>
      <w:r>
        <w:rPr>
          <w:rFonts w:hint="eastAsia" w:ascii="仿宋" w:hAnsi="仿宋" w:eastAsia="仿宋" w:cs="Times New Roman Regular"/>
          <w:sz w:val="32"/>
          <w:szCs w:val="32"/>
        </w:rPr>
        <w:t>号）文件精神，结合单位实际，对项目支出绩效评价指标完成情况做出了客观、公正的评价，现将自评结果汇总分析情况报告如下:</w:t>
      </w:r>
    </w:p>
    <w:p w14:paraId="6D650B2F">
      <w:p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一、项目支出基本情况</w:t>
      </w:r>
    </w:p>
    <w:p w14:paraId="56FB48D9">
      <w:pPr>
        <w:numPr>
          <w:ilvl w:val="0"/>
          <w:numId w:val="1"/>
        </w:num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项目主要内容</w:t>
      </w:r>
    </w:p>
    <w:p w14:paraId="4E89CD40">
      <w:pPr>
        <w:snapToGrid w:val="0"/>
        <w:spacing w:line="520" w:lineRule="exact"/>
        <w:ind w:firstLine="640"/>
        <w:rPr>
          <w:rFonts w:ascii="仿宋" w:hAnsi="仿宋" w:eastAsia="仿宋" w:cs="Times New Roman Regular"/>
          <w:sz w:val="32"/>
          <w:szCs w:val="32"/>
        </w:rPr>
      </w:pPr>
      <w:r>
        <w:rPr>
          <w:rFonts w:hint="eastAsia" w:ascii="仿宋" w:hAnsi="仿宋" w:eastAsia="仿宋" w:cs="Times New Roman Regular"/>
          <w:sz w:val="32"/>
          <w:szCs w:val="32"/>
        </w:rPr>
        <w:t>2025年怀化市公共资源交易中心专项项目共1个，其中怀财预〔202</w:t>
      </w:r>
      <w:r>
        <w:rPr>
          <w:rFonts w:ascii="仿宋" w:hAnsi="仿宋" w:eastAsia="仿宋" w:cs="Times New Roman Regular"/>
          <w:sz w:val="32"/>
          <w:szCs w:val="32"/>
        </w:rPr>
        <w:t>5</w:t>
      </w:r>
      <w:r>
        <w:rPr>
          <w:rFonts w:hint="eastAsia" w:ascii="仿宋" w:hAnsi="仿宋" w:eastAsia="仿宋" w:cs="Times New Roman Regular"/>
          <w:sz w:val="32"/>
          <w:szCs w:val="32"/>
        </w:rPr>
        <w:t>〕</w:t>
      </w:r>
      <w:r>
        <w:rPr>
          <w:rFonts w:ascii="仿宋" w:hAnsi="仿宋" w:eastAsia="仿宋" w:cs="Times New Roman Regular"/>
          <w:sz w:val="32"/>
          <w:szCs w:val="32"/>
        </w:rPr>
        <w:t>4</w:t>
      </w:r>
      <w:r>
        <w:rPr>
          <w:rFonts w:hint="eastAsia" w:ascii="仿宋" w:hAnsi="仿宋" w:eastAsia="仿宋" w:cs="Times New Roman Regular"/>
          <w:sz w:val="32"/>
          <w:szCs w:val="32"/>
        </w:rPr>
        <w:t>号批复本级预算项目1个。</w:t>
      </w:r>
    </w:p>
    <w:p w14:paraId="18FB67C4">
      <w:pPr>
        <w:snapToGrid w:val="0"/>
        <w:spacing w:line="520" w:lineRule="exact"/>
        <w:ind w:firstLine="640"/>
        <w:rPr>
          <w:rFonts w:ascii="仿宋" w:hAnsi="仿宋" w:eastAsia="仿宋" w:cs="Times New Roman Regular"/>
          <w:sz w:val="32"/>
          <w:szCs w:val="32"/>
        </w:rPr>
      </w:pPr>
      <w:r>
        <w:rPr>
          <w:rFonts w:hint="eastAsia" w:ascii="仿宋" w:hAnsi="仿宋" w:eastAsia="仿宋" w:cs="Times New Roman Regular"/>
          <w:sz w:val="32"/>
          <w:szCs w:val="32"/>
        </w:rPr>
        <w:t>项目支出是指单位为完成特定行政工作任务或事业发展目标而发生的支出，包括有关事业发展专项、专项业务费、基本建设支出等。本单位只有公共交易平</w:t>
      </w:r>
      <w:r>
        <w:rPr>
          <w:rFonts w:hint="eastAsia" w:ascii="仿宋" w:hAnsi="仿宋" w:eastAsia="仿宋" w:cs="微软雅黑"/>
          <w:sz w:val="32"/>
          <w:szCs w:val="32"/>
        </w:rPr>
        <w:t>台</w:t>
      </w:r>
      <w:r>
        <w:rPr>
          <w:rFonts w:hint="eastAsia" w:ascii="仿宋" w:hAnsi="仿宋" w:eastAsia="仿宋" w:cs="Times New Roman Regular"/>
          <w:sz w:val="32"/>
          <w:szCs w:val="32"/>
        </w:rPr>
        <w:t>一体化和营商环境评价等经费，主要用于全</w:t>
      </w:r>
      <w:r>
        <w:rPr>
          <w:rFonts w:hint="eastAsia" w:ascii="仿宋" w:hAnsi="仿宋" w:eastAsia="仿宋" w:cs="微软雅黑"/>
          <w:sz w:val="32"/>
          <w:szCs w:val="32"/>
        </w:rPr>
        <w:t>力</w:t>
      </w:r>
      <w:r>
        <w:rPr>
          <w:rFonts w:hint="eastAsia" w:ascii="仿宋" w:hAnsi="仿宋" w:eastAsia="仿宋" w:cs="___WRD_EMBED_SUB_47"/>
          <w:sz w:val="32"/>
          <w:szCs w:val="32"/>
        </w:rPr>
        <w:t>服务做好“</w:t>
      </w:r>
      <w:r>
        <w:rPr>
          <w:rFonts w:hint="eastAsia" w:ascii="仿宋" w:hAnsi="仿宋" w:eastAsia="仿宋" w:cs="Times New Roman Regular"/>
          <w:sz w:val="32"/>
          <w:szCs w:val="32"/>
        </w:rPr>
        <w:t>5+10”现代化产业体</w:t>
      </w:r>
      <w:r>
        <w:rPr>
          <w:rFonts w:hint="eastAsia" w:ascii="仿宋" w:hAnsi="仿宋" w:eastAsia="仿宋" w:cs="微软雅黑"/>
          <w:sz w:val="32"/>
          <w:szCs w:val="32"/>
        </w:rPr>
        <w:t>系</w:t>
      </w:r>
      <w:r>
        <w:rPr>
          <w:rFonts w:hint="eastAsia" w:ascii="仿宋" w:hAnsi="仿宋" w:eastAsia="仿宋" w:cs="___WRD_EMBED_SUB_47"/>
          <w:sz w:val="32"/>
          <w:szCs w:val="32"/>
        </w:rPr>
        <w:t>建设等重点项目，</w:t>
      </w:r>
      <w:r>
        <w:rPr>
          <w:rFonts w:hint="eastAsia" w:ascii="仿宋" w:hAnsi="仿宋" w:eastAsia="仿宋" w:cs="Times New Roman Regular"/>
          <w:sz w:val="32"/>
          <w:szCs w:val="32"/>
        </w:rPr>
        <w:t>保持交易量、交易额“双增长”的良好</w:t>
      </w:r>
      <w:r>
        <w:rPr>
          <w:rFonts w:hint="eastAsia" w:ascii="仿宋" w:hAnsi="仿宋" w:eastAsia="仿宋" w:cs="微软雅黑"/>
          <w:sz w:val="32"/>
          <w:szCs w:val="32"/>
        </w:rPr>
        <w:t>势头</w:t>
      </w:r>
      <w:r>
        <w:rPr>
          <w:rFonts w:hint="eastAsia" w:ascii="仿宋" w:hAnsi="仿宋" w:eastAsia="仿宋" w:cs="___WRD_EMBED_SUB_47"/>
          <w:sz w:val="32"/>
          <w:szCs w:val="32"/>
        </w:rPr>
        <w:t>，</w:t>
      </w:r>
      <w:r>
        <w:rPr>
          <w:rFonts w:hint="eastAsia" w:ascii="仿宋" w:hAnsi="仿宋" w:eastAsia="仿宋" w:cs="___WRD_EMBED_SUB_47"/>
          <w:sz w:val="32"/>
          <w:szCs w:val="32"/>
          <w:lang w:val="en-US" w:eastAsia="zh-CN"/>
        </w:rPr>
        <w:t>持续推进“机器管”招投标，</w:t>
      </w:r>
      <w:r>
        <w:rPr>
          <w:rFonts w:hint="eastAsia" w:ascii="仿宋" w:hAnsi="仿宋" w:eastAsia="仿宋" w:cs="___WRD_EMBED_SUB_47"/>
          <w:sz w:val="32"/>
          <w:szCs w:val="32"/>
        </w:rPr>
        <w:t>不断优化营商环境，</w:t>
      </w:r>
      <w:r>
        <w:rPr>
          <w:rFonts w:hint="eastAsia" w:ascii="仿宋" w:hAnsi="仿宋" w:eastAsia="仿宋" w:cs="微软雅黑"/>
          <w:sz w:val="32"/>
          <w:szCs w:val="32"/>
        </w:rPr>
        <w:t>推</w:t>
      </w:r>
      <w:r>
        <w:rPr>
          <w:rFonts w:hint="eastAsia" w:ascii="仿宋" w:hAnsi="仿宋" w:eastAsia="仿宋" w:cs="___WRD_EMBED_SUB_47"/>
          <w:sz w:val="32"/>
          <w:szCs w:val="32"/>
        </w:rPr>
        <w:t>动全领域交易项目实现全流程电子化，实现工程建设项目、政府采购项目招投标全流程电子化率</w:t>
      </w:r>
      <w:r>
        <w:rPr>
          <w:rFonts w:hint="eastAsia" w:ascii="仿宋" w:hAnsi="仿宋" w:eastAsia="仿宋" w:cs="Times New Roman Regular"/>
          <w:sz w:val="32"/>
          <w:szCs w:val="32"/>
        </w:rPr>
        <w:t>100%；强化交易现场管理，做到交易全过程“数字见证”，全</w:t>
      </w:r>
      <w:r>
        <w:rPr>
          <w:rFonts w:hint="eastAsia" w:ascii="仿宋" w:hAnsi="仿宋" w:eastAsia="仿宋" w:cs="微软雅黑"/>
          <w:sz w:val="32"/>
          <w:szCs w:val="32"/>
        </w:rPr>
        <w:t>力推</w:t>
      </w:r>
      <w:r>
        <w:rPr>
          <w:rFonts w:hint="eastAsia" w:ascii="仿宋" w:hAnsi="仿宋" w:eastAsia="仿宋" w:cs="___WRD_EMBED_SUB_47"/>
          <w:sz w:val="32"/>
          <w:szCs w:val="32"/>
        </w:rPr>
        <w:t>进智能辅助评标，做好怀化招投标领域</w:t>
      </w:r>
      <w:r>
        <w:rPr>
          <w:rFonts w:hint="eastAsia" w:ascii="仿宋" w:hAnsi="仿宋" w:eastAsia="仿宋" w:cs="微软雅黑"/>
          <w:sz w:val="32"/>
          <w:szCs w:val="32"/>
        </w:rPr>
        <w:t>移</w:t>
      </w:r>
      <w:r>
        <w:rPr>
          <w:rFonts w:hint="eastAsia" w:ascii="仿宋" w:hAnsi="仿宋" w:eastAsia="仿宋" w:cs="___WRD_EMBED_SUB_47"/>
          <w:sz w:val="32"/>
          <w:szCs w:val="32"/>
        </w:rPr>
        <w:t>动数字证</w:t>
      </w:r>
      <w:r>
        <w:rPr>
          <w:rFonts w:hint="eastAsia" w:ascii="仿宋" w:hAnsi="仿宋" w:eastAsia="仿宋" w:cs="微软雅黑"/>
          <w:sz w:val="32"/>
          <w:szCs w:val="32"/>
        </w:rPr>
        <w:t>书</w:t>
      </w:r>
      <w:r>
        <w:rPr>
          <w:rFonts w:hint="eastAsia" w:ascii="仿宋" w:hAnsi="仿宋" w:eastAsia="仿宋" w:cs="___WRD_EMBED_SUB_47"/>
          <w:sz w:val="32"/>
          <w:szCs w:val="32"/>
        </w:rPr>
        <w:t>（</w:t>
      </w:r>
      <w:r>
        <w:rPr>
          <w:rFonts w:ascii="Times New Roman" w:hAnsi="Times New Roman" w:eastAsia="仿宋" w:cs="Times New Roman"/>
          <w:sz w:val="32"/>
          <w:szCs w:val="32"/>
        </w:rPr>
        <w:t>CA</w:t>
      </w:r>
      <w:r>
        <w:rPr>
          <w:rFonts w:hint="eastAsia" w:ascii="仿宋" w:hAnsi="仿宋" w:eastAsia="仿宋" w:cs="Times New Roman Regular"/>
          <w:sz w:val="32"/>
          <w:szCs w:val="32"/>
        </w:rPr>
        <w:t>）全国</w:t>
      </w:r>
      <w:r>
        <w:rPr>
          <w:rFonts w:hint="eastAsia" w:ascii="仿宋" w:hAnsi="仿宋" w:eastAsia="仿宋" w:cs="微软雅黑"/>
          <w:sz w:val="32"/>
          <w:szCs w:val="32"/>
        </w:rPr>
        <w:t>互</w:t>
      </w:r>
      <w:r>
        <w:rPr>
          <w:rFonts w:hint="eastAsia" w:ascii="仿宋" w:hAnsi="仿宋" w:eastAsia="仿宋" w:cs="___WRD_EMBED_SUB_47"/>
          <w:sz w:val="32"/>
          <w:szCs w:val="32"/>
        </w:rPr>
        <w:t>认等工作</w:t>
      </w:r>
      <w:r>
        <w:rPr>
          <w:rFonts w:hint="eastAsia" w:ascii="仿宋" w:hAnsi="仿宋" w:eastAsia="仿宋" w:cs="Times New Roman Regular"/>
          <w:sz w:val="32"/>
          <w:szCs w:val="32"/>
        </w:rPr>
        <w:t>。</w:t>
      </w:r>
    </w:p>
    <w:p w14:paraId="5FB31867">
      <w:pPr>
        <w:snapToGrid w:val="0"/>
        <w:spacing w:line="520" w:lineRule="exact"/>
        <w:ind w:firstLine="640"/>
        <w:rPr>
          <w:rFonts w:ascii="仿宋" w:hAnsi="仿宋" w:eastAsia="仿宋" w:cs="Times New Roman Regular"/>
          <w:sz w:val="32"/>
          <w:szCs w:val="32"/>
        </w:rPr>
      </w:pPr>
      <w:r>
        <w:rPr>
          <w:rFonts w:hint="eastAsia" w:ascii="仿宋" w:hAnsi="仿宋" w:eastAsia="仿宋" w:cs="Times New Roman Regular"/>
          <w:sz w:val="32"/>
          <w:szCs w:val="32"/>
        </w:rPr>
        <w:t>（二）项目总体预算和执行情况</w:t>
      </w:r>
    </w:p>
    <w:p w14:paraId="0A66745A">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202</w:t>
      </w:r>
      <w:r>
        <w:rPr>
          <w:rFonts w:ascii="仿宋" w:hAnsi="仿宋" w:eastAsia="仿宋" w:cs="Times New Roman Regular"/>
          <w:sz w:val="32"/>
          <w:szCs w:val="32"/>
        </w:rPr>
        <w:t>5</w:t>
      </w:r>
      <w:r>
        <w:rPr>
          <w:rFonts w:hint="eastAsia" w:ascii="仿宋" w:hAnsi="仿宋" w:eastAsia="仿宋" w:cs="Times New Roman Regular"/>
          <w:sz w:val="32"/>
          <w:szCs w:val="32"/>
        </w:rPr>
        <w:t>年项目支出年初预算</w:t>
      </w:r>
      <w:r>
        <w:rPr>
          <w:rFonts w:ascii="仿宋" w:hAnsi="仿宋" w:eastAsia="仿宋" w:cs="Times New Roman Regular"/>
          <w:sz w:val="32"/>
          <w:szCs w:val="32"/>
        </w:rPr>
        <w:t>1326.75</w:t>
      </w:r>
      <w:r>
        <w:rPr>
          <w:rFonts w:hint="eastAsia" w:ascii="仿宋" w:hAnsi="仿宋" w:eastAsia="仿宋" w:cs="Times New Roman Regular"/>
          <w:sz w:val="32"/>
          <w:szCs w:val="32"/>
        </w:rPr>
        <w:t>万元，全年预算</w:t>
      </w:r>
      <w:r>
        <w:rPr>
          <w:rFonts w:ascii="仿宋" w:hAnsi="仿宋" w:eastAsia="仿宋" w:cs="Times New Roman Regular"/>
          <w:sz w:val="32"/>
          <w:szCs w:val="32"/>
        </w:rPr>
        <w:t>1226.75</w:t>
      </w:r>
      <w:r>
        <w:rPr>
          <w:rFonts w:hint="eastAsia" w:ascii="仿宋" w:hAnsi="仿宋" w:eastAsia="仿宋" w:cs="Times New Roman Regular"/>
          <w:sz w:val="32"/>
          <w:szCs w:val="32"/>
        </w:rPr>
        <w:t>万元，实际支出</w:t>
      </w:r>
      <w:r>
        <w:rPr>
          <w:rFonts w:ascii="仿宋" w:hAnsi="仿宋" w:eastAsia="仿宋" w:cs="Times New Roman Regular"/>
          <w:sz w:val="32"/>
          <w:szCs w:val="32"/>
        </w:rPr>
        <w:t>806.87</w:t>
      </w:r>
      <w:r>
        <w:rPr>
          <w:rFonts w:hint="eastAsia" w:ascii="仿宋" w:hAnsi="仿宋" w:eastAsia="仿宋" w:cs="Times New Roman Regular"/>
          <w:sz w:val="32"/>
          <w:szCs w:val="32"/>
        </w:rPr>
        <w:t>万元。</w:t>
      </w:r>
    </w:p>
    <w:p w14:paraId="675D29CE">
      <w:pPr>
        <w:snapToGrid w:val="0"/>
        <w:spacing w:line="520" w:lineRule="exact"/>
        <w:ind w:firstLine="640" w:firstLineChars="200"/>
        <w:rPr>
          <w:rFonts w:ascii="仿宋" w:hAnsi="仿宋" w:eastAsia="仿宋"/>
        </w:rPr>
      </w:pPr>
      <w:r>
        <w:rPr>
          <w:rFonts w:hint="eastAsia" w:ascii="仿宋" w:hAnsi="仿宋" w:eastAsia="仿宋" w:cs="Times New Roman Regular"/>
          <w:sz w:val="32"/>
          <w:szCs w:val="32"/>
        </w:rPr>
        <w:t>202</w:t>
      </w:r>
      <w:r>
        <w:rPr>
          <w:rFonts w:ascii="仿宋" w:hAnsi="仿宋" w:eastAsia="仿宋" w:cs="Times New Roman Regular"/>
          <w:sz w:val="32"/>
          <w:szCs w:val="32"/>
        </w:rPr>
        <w:t>5</w:t>
      </w:r>
      <w:r>
        <w:rPr>
          <w:rFonts w:hint="eastAsia" w:ascii="仿宋" w:hAnsi="仿宋" w:eastAsia="仿宋" w:cs="Times New Roman Regular"/>
          <w:sz w:val="32"/>
          <w:szCs w:val="32"/>
        </w:rPr>
        <w:t>年怀化市公共资源交易中心项目支出总体预算为</w:t>
      </w:r>
      <w:r>
        <w:rPr>
          <w:rFonts w:ascii="仿宋" w:hAnsi="仿宋" w:eastAsia="仿宋" w:cs="Times New Roman Regular"/>
          <w:sz w:val="32"/>
          <w:szCs w:val="32"/>
        </w:rPr>
        <w:t>1326.75</w:t>
      </w:r>
      <w:r>
        <w:rPr>
          <w:rFonts w:hint="eastAsia" w:ascii="仿宋" w:hAnsi="仿宋" w:eastAsia="仿宋" w:cs="Times New Roman Regular"/>
          <w:sz w:val="32"/>
          <w:szCs w:val="32"/>
        </w:rPr>
        <w:t>万元，主要包括租赁费</w:t>
      </w:r>
      <w:r>
        <w:rPr>
          <w:rFonts w:ascii="仿宋" w:hAnsi="仿宋" w:eastAsia="仿宋" w:cs="Times New Roman Regular"/>
          <w:sz w:val="32"/>
          <w:szCs w:val="32"/>
        </w:rPr>
        <w:t>281.60</w:t>
      </w:r>
      <w:r>
        <w:rPr>
          <w:rFonts w:hint="eastAsia" w:ascii="仿宋" w:hAnsi="仿宋" w:eastAsia="仿宋" w:cs="Times New Roman Regular"/>
          <w:sz w:val="32"/>
          <w:szCs w:val="32"/>
        </w:rPr>
        <w:t>万元、物业管理费</w:t>
      </w:r>
      <w:r>
        <w:rPr>
          <w:rFonts w:ascii="仿宋" w:hAnsi="仿宋" w:eastAsia="仿宋" w:cs="Times New Roman Regular"/>
          <w:sz w:val="32"/>
          <w:szCs w:val="32"/>
        </w:rPr>
        <w:t>70</w:t>
      </w:r>
      <w:r>
        <w:rPr>
          <w:rFonts w:hint="eastAsia" w:ascii="仿宋" w:hAnsi="仿宋" w:eastAsia="仿宋" w:cs="Times New Roman Regular"/>
          <w:sz w:val="32"/>
          <w:szCs w:val="32"/>
        </w:rPr>
        <w:t>万元、维修（护）费</w:t>
      </w:r>
      <w:r>
        <w:rPr>
          <w:rFonts w:ascii="仿宋" w:hAnsi="仿宋" w:eastAsia="仿宋" w:cs="Times New Roman Regular"/>
          <w:sz w:val="32"/>
          <w:szCs w:val="32"/>
        </w:rPr>
        <w:t>396.55</w:t>
      </w:r>
      <w:r>
        <w:rPr>
          <w:rFonts w:hint="eastAsia" w:ascii="仿宋" w:hAnsi="仿宋" w:eastAsia="仿宋" w:cs="Times New Roman Regular"/>
          <w:sz w:val="32"/>
          <w:szCs w:val="32"/>
        </w:rPr>
        <w:t>万元、办公费</w:t>
      </w:r>
      <w:r>
        <w:rPr>
          <w:rFonts w:ascii="仿宋" w:hAnsi="仿宋" w:eastAsia="仿宋" w:cs="Times New Roman Regular"/>
          <w:sz w:val="32"/>
          <w:szCs w:val="32"/>
        </w:rPr>
        <w:t>23</w:t>
      </w:r>
      <w:r>
        <w:rPr>
          <w:rFonts w:hint="eastAsia" w:ascii="仿宋" w:hAnsi="仿宋" w:eastAsia="仿宋" w:cs="Times New Roman Regular"/>
          <w:sz w:val="32"/>
          <w:szCs w:val="32"/>
        </w:rPr>
        <w:t>万元、电费</w:t>
      </w:r>
      <w:r>
        <w:rPr>
          <w:rFonts w:ascii="仿宋" w:hAnsi="仿宋" w:eastAsia="仿宋" w:cs="Times New Roman Regular"/>
          <w:sz w:val="32"/>
          <w:szCs w:val="32"/>
        </w:rPr>
        <w:t>40</w:t>
      </w:r>
      <w:r>
        <w:rPr>
          <w:rFonts w:hint="eastAsia" w:ascii="仿宋" w:hAnsi="仿宋" w:eastAsia="仿宋" w:cs="Times New Roman Regular"/>
          <w:sz w:val="32"/>
          <w:szCs w:val="32"/>
        </w:rPr>
        <w:t>万元、委</w:t>
      </w:r>
      <w:r>
        <w:rPr>
          <w:rFonts w:hint="eastAsia" w:ascii="仿宋" w:hAnsi="仿宋" w:eastAsia="仿宋" w:cs="微软雅黑"/>
          <w:sz w:val="32"/>
          <w:szCs w:val="32"/>
        </w:rPr>
        <w:t>托业务费</w:t>
      </w:r>
      <w:r>
        <w:rPr>
          <w:rFonts w:hint="eastAsia" w:ascii="仿宋" w:hAnsi="仿宋" w:eastAsia="仿宋" w:cs="Times New Roman Regular"/>
          <w:sz w:val="32"/>
          <w:szCs w:val="32"/>
        </w:rPr>
        <w:t>1</w:t>
      </w:r>
      <w:r>
        <w:rPr>
          <w:rFonts w:ascii="仿宋" w:hAnsi="仿宋" w:eastAsia="仿宋" w:cs="Times New Roman Regular"/>
          <w:sz w:val="32"/>
          <w:szCs w:val="32"/>
        </w:rPr>
        <w:t>21.10</w:t>
      </w:r>
      <w:r>
        <w:rPr>
          <w:rFonts w:hint="eastAsia" w:ascii="仿宋" w:hAnsi="仿宋" w:eastAsia="仿宋" w:cs="Times New Roman Regular"/>
          <w:sz w:val="32"/>
          <w:szCs w:val="32"/>
        </w:rPr>
        <w:t>万元、其他商品和服务支出</w:t>
      </w:r>
      <w:r>
        <w:rPr>
          <w:rFonts w:ascii="仿宋" w:hAnsi="仿宋" w:eastAsia="仿宋" w:cs="Times New Roman Regular"/>
          <w:sz w:val="32"/>
          <w:szCs w:val="32"/>
        </w:rPr>
        <w:t>62</w:t>
      </w:r>
      <w:r>
        <w:rPr>
          <w:rFonts w:hint="eastAsia" w:ascii="仿宋" w:hAnsi="仿宋" w:eastAsia="仿宋" w:cs="Times New Roman Regular"/>
          <w:sz w:val="32"/>
          <w:szCs w:val="32"/>
        </w:rPr>
        <w:t>万元、信息网络及软件购置更新</w:t>
      </w:r>
      <w:r>
        <w:rPr>
          <w:rFonts w:ascii="仿宋" w:hAnsi="仿宋" w:eastAsia="仿宋" w:cs="Times New Roman Regular"/>
          <w:sz w:val="32"/>
          <w:szCs w:val="32"/>
        </w:rPr>
        <w:t>280.50</w:t>
      </w:r>
      <w:r>
        <w:rPr>
          <w:rFonts w:hint="eastAsia" w:ascii="仿宋" w:hAnsi="仿宋" w:eastAsia="仿宋" w:cs="Times New Roman Regular"/>
          <w:sz w:val="32"/>
          <w:szCs w:val="32"/>
        </w:rPr>
        <w:t>万元、办公设备购置5</w:t>
      </w:r>
      <w:r>
        <w:rPr>
          <w:rFonts w:ascii="仿宋" w:hAnsi="仿宋" w:eastAsia="仿宋" w:cs="Times New Roman Regular"/>
          <w:sz w:val="32"/>
          <w:szCs w:val="32"/>
        </w:rPr>
        <w:t>2</w:t>
      </w:r>
      <w:r>
        <w:rPr>
          <w:rFonts w:hint="eastAsia" w:ascii="仿宋" w:hAnsi="仿宋" w:eastAsia="仿宋" w:cs="Times New Roman Regular"/>
          <w:sz w:val="32"/>
          <w:szCs w:val="32"/>
        </w:rPr>
        <w:t>万元。</w:t>
      </w:r>
    </w:p>
    <w:p w14:paraId="1DC6E118">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项目支出预算执行数</w:t>
      </w:r>
      <w:r>
        <w:rPr>
          <w:rFonts w:ascii="仿宋" w:hAnsi="仿宋" w:eastAsia="仿宋" w:cs="Times New Roman Regular"/>
          <w:sz w:val="32"/>
          <w:szCs w:val="32"/>
        </w:rPr>
        <w:t>806.87</w:t>
      </w:r>
      <w:r>
        <w:rPr>
          <w:rFonts w:hint="eastAsia" w:ascii="仿宋" w:hAnsi="仿宋" w:eastAsia="仿宋" w:cs="Times New Roman Regular"/>
          <w:sz w:val="32"/>
          <w:szCs w:val="32"/>
        </w:rPr>
        <w:t>万元，执行率</w:t>
      </w:r>
      <w:r>
        <w:rPr>
          <w:rFonts w:ascii="仿宋" w:hAnsi="仿宋" w:eastAsia="仿宋" w:cs="Times New Roman Regular"/>
          <w:sz w:val="32"/>
          <w:szCs w:val="32"/>
        </w:rPr>
        <w:t>65.77</w:t>
      </w:r>
      <w:r>
        <w:rPr>
          <w:rFonts w:hint="eastAsia" w:ascii="仿宋" w:hAnsi="仿宋" w:eastAsia="仿宋" w:cs="Times New Roman Regular"/>
          <w:sz w:val="32"/>
          <w:szCs w:val="32"/>
        </w:rPr>
        <w:t>%，主要包括办公费</w:t>
      </w:r>
      <w:r>
        <w:rPr>
          <w:rFonts w:ascii="仿宋" w:hAnsi="仿宋" w:eastAsia="仿宋" w:cs="Times New Roman Regular"/>
          <w:sz w:val="32"/>
          <w:szCs w:val="32"/>
        </w:rPr>
        <w:t>5.19</w:t>
      </w:r>
      <w:r>
        <w:rPr>
          <w:rFonts w:hint="eastAsia" w:ascii="仿宋" w:hAnsi="仿宋" w:eastAsia="仿宋" w:cs="Times New Roman Regular"/>
          <w:sz w:val="32"/>
          <w:szCs w:val="32"/>
        </w:rPr>
        <w:t>万元、电费</w:t>
      </w:r>
      <w:r>
        <w:rPr>
          <w:rFonts w:ascii="仿宋" w:hAnsi="仿宋" w:eastAsia="仿宋" w:cs="Times New Roman Regular"/>
          <w:sz w:val="32"/>
          <w:szCs w:val="32"/>
        </w:rPr>
        <w:t>44.00</w:t>
      </w:r>
      <w:r>
        <w:rPr>
          <w:rFonts w:hint="eastAsia" w:ascii="仿宋" w:hAnsi="仿宋" w:eastAsia="仿宋" w:cs="Times New Roman Regular"/>
          <w:sz w:val="32"/>
          <w:szCs w:val="32"/>
        </w:rPr>
        <w:t>万元、物业管理费</w:t>
      </w:r>
      <w:r>
        <w:rPr>
          <w:rFonts w:ascii="仿宋" w:hAnsi="仿宋" w:eastAsia="仿宋" w:cs="Times New Roman Regular"/>
          <w:sz w:val="32"/>
          <w:szCs w:val="32"/>
        </w:rPr>
        <w:t>69.88</w:t>
      </w:r>
      <w:r>
        <w:rPr>
          <w:rFonts w:hint="eastAsia" w:ascii="仿宋" w:hAnsi="仿宋" w:eastAsia="仿宋" w:cs="Times New Roman Regular"/>
          <w:sz w:val="32"/>
          <w:szCs w:val="32"/>
        </w:rPr>
        <w:t>万元、维修（护）费</w:t>
      </w:r>
      <w:r>
        <w:rPr>
          <w:rFonts w:ascii="仿宋" w:hAnsi="仿宋" w:eastAsia="仿宋" w:cs="Times New Roman Regular"/>
          <w:sz w:val="32"/>
          <w:szCs w:val="32"/>
        </w:rPr>
        <w:t>247.95</w:t>
      </w:r>
      <w:r>
        <w:rPr>
          <w:rFonts w:hint="eastAsia" w:ascii="仿宋" w:hAnsi="仿宋" w:eastAsia="仿宋" w:cs="Times New Roman Regular"/>
          <w:sz w:val="32"/>
          <w:szCs w:val="32"/>
        </w:rPr>
        <w:t>万元、租赁费</w:t>
      </w:r>
      <w:r>
        <w:rPr>
          <w:rFonts w:ascii="仿宋" w:hAnsi="仿宋" w:eastAsia="仿宋" w:cs="Times New Roman Regular"/>
          <w:sz w:val="32"/>
          <w:szCs w:val="32"/>
        </w:rPr>
        <w:t>119.00</w:t>
      </w:r>
      <w:r>
        <w:rPr>
          <w:rFonts w:hint="eastAsia" w:ascii="仿宋" w:hAnsi="仿宋" w:eastAsia="仿宋" w:cs="Times New Roman Regular"/>
          <w:sz w:val="32"/>
          <w:szCs w:val="32"/>
        </w:rPr>
        <w:t>万元、其他商品和服务支出</w:t>
      </w:r>
      <w:r>
        <w:rPr>
          <w:rFonts w:ascii="仿宋" w:hAnsi="仿宋" w:eastAsia="仿宋" w:cs="Times New Roman Regular"/>
          <w:sz w:val="32"/>
          <w:szCs w:val="32"/>
        </w:rPr>
        <w:t>70.79</w:t>
      </w:r>
      <w:r>
        <w:rPr>
          <w:rFonts w:hint="eastAsia" w:ascii="仿宋" w:hAnsi="仿宋" w:eastAsia="仿宋" w:cs="Times New Roman Regular"/>
          <w:sz w:val="32"/>
          <w:szCs w:val="32"/>
        </w:rPr>
        <w:t>万元、房屋建筑物购建</w:t>
      </w:r>
      <w:r>
        <w:rPr>
          <w:rFonts w:ascii="仿宋" w:hAnsi="仿宋" w:eastAsia="仿宋" w:cs="Times New Roman Regular"/>
          <w:sz w:val="32"/>
          <w:szCs w:val="32"/>
        </w:rPr>
        <w:t>40.16</w:t>
      </w:r>
      <w:r>
        <w:rPr>
          <w:rFonts w:hint="eastAsia" w:ascii="仿宋" w:hAnsi="仿宋" w:eastAsia="仿宋" w:cs="Times New Roman Regular"/>
          <w:sz w:val="32"/>
          <w:szCs w:val="32"/>
        </w:rPr>
        <w:t>万元、办公设备购置</w:t>
      </w:r>
      <w:r>
        <w:rPr>
          <w:rFonts w:ascii="仿宋" w:hAnsi="仿宋" w:eastAsia="仿宋" w:cs="Times New Roman Regular"/>
          <w:sz w:val="32"/>
          <w:szCs w:val="32"/>
        </w:rPr>
        <w:t>50.38</w:t>
      </w:r>
      <w:r>
        <w:rPr>
          <w:rFonts w:hint="eastAsia" w:ascii="仿宋" w:hAnsi="仿宋" w:eastAsia="仿宋" w:cs="Times New Roman Regular"/>
          <w:sz w:val="32"/>
          <w:szCs w:val="32"/>
        </w:rPr>
        <w:t>万元、信息网络及软件购置更新</w:t>
      </w:r>
      <w:r>
        <w:rPr>
          <w:rFonts w:ascii="仿宋" w:hAnsi="仿宋" w:eastAsia="仿宋" w:cs="Times New Roman Regular"/>
          <w:sz w:val="32"/>
          <w:szCs w:val="32"/>
        </w:rPr>
        <w:t>80.00</w:t>
      </w:r>
      <w:r>
        <w:rPr>
          <w:rFonts w:hint="eastAsia" w:ascii="仿宋" w:hAnsi="仿宋" w:eastAsia="仿宋" w:cs="Times New Roman Regular"/>
          <w:sz w:val="32"/>
          <w:szCs w:val="32"/>
        </w:rPr>
        <w:t>万元。</w:t>
      </w:r>
    </w:p>
    <w:p w14:paraId="3531D9BB">
      <w:p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二、项目自评工作开展情况</w:t>
      </w:r>
    </w:p>
    <w:p w14:paraId="26D87C5F">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（一）项目单位自评工作覆盖情况</w:t>
      </w:r>
    </w:p>
    <w:p w14:paraId="366D4BD3">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根据预算绩效管理要求，本次项目支出绩效自评的对象和范围为本单位202</w:t>
      </w:r>
      <w:r>
        <w:rPr>
          <w:rFonts w:ascii="仿宋" w:hAnsi="仿宋" w:eastAsia="仿宋" w:cs="Times New Roman Regular"/>
          <w:sz w:val="32"/>
          <w:szCs w:val="32"/>
        </w:rPr>
        <w:t>5</w:t>
      </w:r>
      <w:r>
        <w:rPr>
          <w:rFonts w:hint="eastAsia" w:ascii="仿宋" w:hAnsi="仿宋" w:eastAsia="仿宋" w:cs="Times New Roman Regular"/>
          <w:sz w:val="32"/>
          <w:szCs w:val="32"/>
        </w:rPr>
        <w:t>年度市本级财政批复的预算项目1个，涉及市级财政专户非税资金</w:t>
      </w:r>
      <w:r>
        <w:rPr>
          <w:rFonts w:ascii="仿宋" w:hAnsi="仿宋" w:eastAsia="仿宋" w:cs="Times New Roman Regular"/>
          <w:sz w:val="32"/>
          <w:szCs w:val="32"/>
        </w:rPr>
        <w:t>806.87</w:t>
      </w:r>
      <w:r>
        <w:rPr>
          <w:rFonts w:hint="eastAsia" w:ascii="仿宋" w:hAnsi="仿宋" w:eastAsia="仿宋" w:cs="Times New Roman Regular"/>
          <w:sz w:val="32"/>
          <w:szCs w:val="32"/>
        </w:rPr>
        <w:t>万元，自评覆盖率为100%。</w:t>
      </w:r>
    </w:p>
    <w:p w14:paraId="145B2574">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（二）组织开展程序</w:t>
      </w:r>
    </w:p>
    <w:p w14:paraId="7C5829E6">
      <w:pPr>
        <w:snapToGrid w:val="0"/>
        <w:spacing w:line="520" w:lineRule="exact"/>
        <w:ind w:firstLine="640" w:firstLineChars="200"/>
        <w:rPr>
          <w:rFonts w:ascii="仿宋" w:hAnsi="仿宋" w:eastAsia="仿宋" w:cs="Times New Roman Regular"/>
          <w:sz w:val="32"/>
          <w:szCs w:val="32"/>
        </w:rPr>
      </w:pPr>
      <w:r>
        <w:rPr>
          <w:rFonts w:ascii="仿宋" w:hAnsi="仿宋" w:eastAsia="仿宋" w:cs="Times New Roman Regular"/>
          <w:sz w:val="32"/>
          <w:szCs w:val="32"/>
        </w:rPr>
        <w:t>实施本次绩效评价，按照怀财绩〔2026〕36号文件要求</w:t>
      </w:r>
      <w:r>
        <w:rPr>
          <w:rFonts w:hint="eastAsia" w:ascii="仿宋" w:hAnsi="仿宋" w:eastAsia="仿宋" w:cs="Times New Roman Regular"/>
          <w:sz w:val="32"/>
          <w:szCs w:val="32"/>
        </w:rPr>
        <w:t>，</w:t>
      </w:r>
      <w:r>
        <w:rPr>
          <w:rFonts w:ascii="仿宋" w:hAnsi="仿宋" w:eastAsia="仿宋" w:cs="Times New Roman Regular"/>
          <w:sz w:val="32"/>
          <w:szCs w:val="32"/>
        </w:rPr>
        <w:t>根据项目预先设立的绩效目标、项目管理办法、专项资金管理办法、项目实施方案等资料，选择合适的评价指标和标准，同时明确本次绩效评价的目的、方法、评价的原则、评价标准等，对</w:t>
      </w:r>
      <w:r>
        <w:rPr>
          <w:rFonts w:hint="eastAsia" w:ascii="仿宋" w:hAnsi="仿宋" w:eastAsia="仿宋" w:cs="Times New Roman Regular"/>
          <w:sz w:val="32"/>
          <w:szCs w:val="32"/>
        </w:rPr>
        <w:t>本单位</w:t>
      </w:r>
      <w:r>
        <w:rPr>
          <w:rFonts w:ascii="仿宋" w:hAnsi="仿宋" w:eastAsia="仿宋" w:cs="Times New Roman Regular"/>
          <w:sz w:val="32"/>
          <w:szCs w:val="32"/>
        </w:rPr>
        <w:t>项目进行自评。运用科学的评价方法，对资金使用过程及其支出的产出、效益进行客观公正的综合评价，以衡量项目资金的使用绩效，同时分析其是否达到预期目标及未完成绩效目标的原因，提出改进的意见和建议，最后撰写项目支出自评结果汇总分析报告。</w:t>
      </w:r>
    </w:p>
    <w:p w14:paraId="7E21C511">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（三）责任单位</w:t>
      </w:r>
    </w:p>
    <w:p w14:paraId="3D4A61D6">
      <w:pPr>
        <w:snapToGrid w:val="0"/>
        <w:spacing w:line="520" w:lineRule="exact"/>
        <w:ind w:firstLine="640" w:firstLineChars="200"/>
        <w:rPr>
          <w:rFonts w:ascii="仿宋" w:hAnsi="仿宋" w:eastAsia="仿宋" w:cs="Times New Roman Regular"/>
          <w:sz w:val="32"/>
          <w:szCs w:val="32"/>
        </w:rPr>
      </w:pPr>
      <w:r>
        <w:rPr>
          <w:rFonts w:ascii="仿宋" w:hAnsi="仿宋" w:eastAsia="仿宋" w:cs="Times New Roman Regular"/>
          <w:sz w:val="32"/>
          <w:szCs w:val="32"/>
        </w:rPr>
        <w:t>项目支出责任单位为怀化市</w:t>
      </w:r>
      <w:r>
        <w:rPr>
          <w:rFonts w:hint="eastAsia" w:ascii="仿宋" w:hAnsi="仿宋" w:eastAsia="仿宋" w:cs="Times New Roman Regular"/>
          <w:sz w:val="32"/>
          <w:szCs w:val="32"/>
        </w:rPr>
        <w:t>公共资源交易中心，</w:t>
      </w:r>
      <w:r>
        <w:rPr>
          <w:rFonts w:ascii="仿宋" w:hAnsi="仿宋" w:eastAsia="仿宋" w:cs="Times New Roman Regular"/>
          <w:sz w:val="32"/>
          <w:szCs w:val="32"/>
        </w:rPr>
        <w:t>承担</w:t>
      </w:r>
      <w:r>
        <w:rPr>
          <w:rFonts w:hint="eastAsia" w:ascii="仿宋" w:hAnsi="仿宋" w:eastAsia="仿宋" w:cs="Times New Roman Regular"/>
          <w:sz w:val="32"/>
          <w:szCs w:val="32"/>
        </w:rPr>
        <w:t>全市</w:t>
      </w:r>
      <w:r>
        <w:rPr>
          <w:rFonts w:ascii="仿宋" w:hAnsi="仿宋" w:eastAsia="仿宋" w:cs="Times New Roman Regular"/>
          <w:sz w:val="32"/>
          <w:szCs w:val="32"/>
        </w:rPr>
        <w:t>工程建设</w:t>
      </w:r>
      <w:r>
        <w:rPr>
          <w:rFonts w:hint="eastAsia" w:ascii="仿宋" w:hAnsi="仿宋" w:eastAsia="仿宋" w:cs="Times New Roman Regular"/>
          <w:sz w:val="32"/>
          <w:szCs w:val="32"/>
        </w:rPr>
        <w:t>、政府采购、国有产权、自然资源</w:t>
      </w:r>
      <w:r>
        <w:rPr>
          <w:rFonts w:ascii="仿宋" w:hAnsi="仿宋" w:eastAsia="仿宋" w:cs="Times New Roman Regular"/>
          <w:sz w:val="32"/>
          <w:szCs w:val="32"/>
        </w:rPr>
        <w:t>等</w:t>
      </w:r>
      <w:r>
        <w:rPr>
          <w:rFonts w:hint="eastAsia" w:ascii="仿宋" w:hAnsi="仿宋" w:eastAsia="仿宋" w:cs="Times New Roman Regular"/>
          <w:sz w:val="32"/>
          <w:szCs w:val="32"/>
        </w:rPr>
        <w:t>项目</w:t>
      </w:r>
      <w:r>
        <w:rPr>
          <w:rFonts w:ascii="仿宋" w:hAnsi="仿宋" w:eastAsia="仿宋" w:cs="Times New Roman Regular"/>
          <w:sz w:val="32"/>
          <w:szCs w:val="32"/>
        </w:rPr>
        <w:t>交易活动的组织、服务和</w:t>
      </w:r>
      <w:r>
        <w:rPr>
          <w:rFonts w:hint="eastAsia" w:ascii="仿宋" w:hAnsi="仿宋" w:eastAsia="仿宋" w:cs="Times New Roman Regular"/>
          <w:sz w:val="32"/>
          <w:szCs w:val="32"/>
        </w:rPr>
        <w:t>现场管理，</w:t>
      </w:r>
      <w:r>
        <w:rPr>
          <w:rFonts w:ascii="仿宋" w:hAnsi="仿宋" w:eastAsia="仿宋" w:cs="Times New Roman Regular"/>
          <w:sz w:val="32"/>
          <w:szCs w:val="32"/>
        </w:rPr>
        <w:t>规范公共资源交易活动</w:t>
      </w:r>
      <w:r>
        <w:rPr>
          <w:rFonts w:hint="eastAsia" w:ascii="仿宋" w:hAnsi="仿宋" w:eastAsia="仿宋" w:cs="Times New Roman Regular"/>
          <w:sz w:val="32"/>
          <w:szCs w:val="32"/>
        </w:rPr>
        <w:t>，实现公共资源交易公开、公平、公正，提升公共资源配置效率。</w:t>
      </w:r>
    </w:p>
    <w:p w14:paraId="0D8CA663">
      <w:pPr>
        <w:snapToGrid w:val="0"/>
        <w:spacing w:line="520" w:lineRule="exact"/>
        <w:ind w:firstLine="640" w:firstLineChars="200"/>
        <w:rPr>
          <w:rFonts w:ascii="仿宋" w:hAnsi="仿宋" w:eastAsia="仿宋" w:cs="Times New Roman Regular"/>
          <w:sz w:val="32"/>
          <w:szCs w:val="32"/>
        </w:rPr>
      </w:pPr>
      <w:r>
        <w:rPr>
          <w:rFonts w:ascii="仿宋" w:hAnsi="仿宋" w:eastAsia="仿宋" w:cs="Times New Roman Regular"/>
          <w:sz w:val="32"/>
          <w:szCs w:val="32"/>
        </w:rPr>
        <w:t>项目招标土地使用权、探矿权、采矿权出让</w:t>
      </w:r>
      <w:r>
        <w:rPr>
          <w:rFonts w:hint="eastAsia" w:ascii="仿宋" w:hAnsi="仿宋" w:eastAsia="仿宋" w:cs="Times New Roman Regular"/>
          <w:sz w:val="32"/>
          <w:szCs w:val="32"/>
        </w:rPr>
        <w:t>土</w:t>
      </w:r>
      <w:r>
        <w:rPr>
          <w:rFonts w:ascii="仿宋" w:hAnsi="仿宋" w:eastAsia="仿宋" w:cs="Times New Roman Regular"/>
          <w:sz w:val="32"/>
          <w:szCs w:val="32"/>
        </w:rPr>
        <w:t>地整理招标矿业权转让鉴证产权交易特殊资源交易和政府采购等交易活动的组织、服务和场内监督</w:t>
      </w:r>
      <w:r>
        <w:rPr>
          <w:rFonts w:hint="eastAsia" w:ascii="仿宋" w:hAnsi="仿宋" w:eastAsia="仿宋" w:cs="Times New Roman Regular"/>
          <w:sz w:val="32"/>
          <w:szCs w:val="32"/>
        </w:rPr>
        <w:t>（</w:t>
      </w:r>
      <w:r>
        <w:rPr>
          <w:rFonts w:ascii="仿宋" w:hAnsi="仿宋" w:eastAsia="仿宋" w:cs="Times New Roman Regular"/>
          <w:sz w:val="32"/>
          <w:szCs w:val="32"/>
        </w:rPr>
        <w:t>相关服务</w:t>
      </w:r>
      <w:r>
        <w:rPr>
          <w:rFonts w:hint="eastAsia" w:ascii="仿宋" w:hAnsi="仿宋" w:eastAsia="仿宋" w:cs="Times New Roman Regular"/>
          <w:sz w:val="32"/>
          <w:szCs w:val="32"/>
        </w:rPr>
        <w:t>），</w:t>
      </w:r>
      <w:r>
        <w:rPr>
          <w:rFonts w:ascii="仿宋" w:hAnsi="仿宋" w:eastAsia="仿宋" w:cs="Times New Roman Regular"/>
          <w:sz w:val="32"/>
          <w:szCs w:val="32"/>
        </w:rPr>
        <w:t>规范公共资源交易活动。</w:t>
      </w:r>
    </w:p>
    <w:p w14:paraId="507A35AC">
      <w:p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三、项目自评结果及分析</w:t>
      </w:r>
    </w:p>
    <w:p w14:paraId="5DDA3130">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（一）项目支出单位自评分数情况及分析</w:t>
      </w:r>
    </w:p>
    <w:p w14:paraId="7F5B9E22">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本单位本次项目支出自评结果为:公共交易平</w:t>
      </w:r>
      <w:r>
        <w:rPr>
          <w:rFonts w:hint="eastAsia" w:ascii="仿宋" w:hAnsi="仿宋" w:eastAsia="仿宋" w:cs="微软雅黑"/>
          <w:sz w:val="32"/>
          <w:szCs w:val="32"/>
        </w:rPr>
        <w:t>台一体化和营商环境评价等经费</w:t>
      </w:r>
      <w:r>
        <w:rPr>
          <w:rFonts w:hint="eastAsia" w:ascii="仿宋" w:hAnsi="仿宋" w:eastAsia="仿宋" w:cs="Times New Roman Regular"/>
          <w:sz w:val="32"/>
          <w:szCs w:val="32"/>
        </w:rPr>
        <w:t>自评得分</w:t>
      </w:r>
      <w:r>
        <w:rPr>
          <w:rFonts w:ascii="仿宋" w:hAnsi="仿宋" w:eastAsia="仿宋" w:cs="微软雅黑"/>
          <w:sz w:val="32"/>
          <w:szCs w:val="32"/>
        </w:rPr>
        <w:t>96.58</w:t>
      </w:r>
      <w:r>
        <w:rPr>
          <w:rFonts w:hint="eastAsia" w:ascii="仿宋" w:hAnsi="仿宋" w:eastAsia="仿宋" w:cs="Times New Roman Regular"/>
          <w:sz w:val="32"/>
          <w:szCs w:val="32"/>
        </w:rPr>
        <w:t>分。</w:t>
      </w:r>
    </w:p>
    <w:p w14:paraId="7AE93195">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从本次绩效自评的整体情况来看，项目支出决策依据充分，资金下达及时，资金分配合理，组织实施有序，管理制度完善，项目管理整体情况良好，充分发挥了财政专户非税资金使用效益。</w:t>
      </w:r>
    </w:p>
    <w:p w14:paraId="477B1AC5">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（二）预算执行情况分析</w:t>
      </w:r>
    </w:p>
    <w:p w14:paraId="735438C6">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本单位202</w:t>
      </w:r>
      <w:r>
        <w:rPr>
          <w:rFonts w:ascii="仿宋" w:hAnsi="仿宋" w:eastAsia="仿宋" w:cs="Times New Roman Regular"/>
          <w:sz w:val="32"/>
          <w:szCs w:val="32"/>
        </w:rPr>
        <w:t>5</w:t>
      </w:r>
      <w:r>
        <w:rPr>
          <w:rFonts w:hint="eastAsia" w:ascii="仿宋" w:hAnsi="仿宋" w:eastAsia="仿宋" w:cs="Times New Roman Regular"/>
          <w:sz w:val="32"/>
          <w:szCs w:val="32"/>
        </w:rPr>
        <w:t>年度项目支出中的1个项目全年预算数为</w:t>
      </w:r>
      <w:r>
        <w:rPr>
          <w:rFonts w:ascii="仿宋" w:hAnsi="仿宋" w:eastAsia="仿宋" w:cs="Times New Roman Regular"/>
          <w:sz w:val="32"/>
          <w:szCs w:val="32"/>
        </w:rPr>
        <w:t>1226.75</w:t>
      </w:r>
      <w:r>
        <w:rPr>
          <w:rFonts w:hint="eastAsia" w:ascii="仿宋" w:hAnsi="仿宋" w:eastAsia="仿宋" w:cs="Times New Roman Regular"/>
          <w:sz w:val="32"/>
          <w:szCs w:val="32"/>
        </w:rPr>
        <w:t>万元。截至202</w:t>
      </w:r>
      <w:r>
        <w:rPr>
          <w:rFonts w:ascii="仿宋" w:hAnsi="仿宋" w:eastAsia="仿宋" w:cs="Times New Roman Regular"/>
          <w:sz w:val="32"/>
          <w:szCs w:val="32"/>
        </w:rPr>
        <w:t>5</w:t>
      </w:r>
      <w:r>
        <w:rPr>
          <w:rFonts w:hint="eastAsia" w:ascii="仿宋" w:hAnsi="仿宋" w:eastAsia="仿宋" w:cs="Times New Roman Regular"/>
          <w:sz w:val="32"/>
          <w:szCs w:val="32"/>
        </w:rPr>
        <w:t>年12月31日，项目全年执行数为</w:t>
      </w:r>
      <w:r>
        <w:rPr>
          <w:rFonts w:ascii="仿宋" w:hAnsi="仿宋" w:eastAsia="仿宋" w:cs="Times New Roman Regular"/>
          <w:sz w:val="32"/>
          <w:szCs w:val="32"/>
        </w:rPr>
        <w:t>806.87</w:t>
      </w:r>
      <w:r>
        <w:rPr>
          <w:rFonts w:hint="eastAsia" w:ascii="仿宋" w:hAnsi="仿宋" w:eastAsia="仿宋" w:cs="Times New Roman Regular"/>
          <w:sz w:val="32"/>
          <w:szCs w:val="32"/>
        </w:rPr>
        <w:t>万元，总预算执行率为</w:t>
      </w:r>
      <w:r>
        <w:rPr>
          <w:rFonts w:ascii="仿宋" w:hAnsi="仿宋" w:eastAsia="仿宋" w:cs="Times New Roman Regular"/>
          <w:sz w:val="32"/>
          <w:szCs w:val="32"/>
        </w:rPr>
        <w:t>65.77</w:t>
      </w:r>
      <w:r>
        <w:rPr>
          <w:rFonts w:hint="eastAsia" w:ascii="仿宋" w:hAnsi="仿宋" w:eastAsia="仿宋" w:cs="Times New Roman Regular"/>
          <w:sz w:val="32"/>
          <w:szCs w:val="32"/>
        </w:rPr>
        <w:t>%。</w:t>
      </w:r>
    </w:p>
    <w:p w14:paraId="7450B829">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（三）资金管理情况分析</w:t>
      </w:r>
    </w:p>
    <w:p w14:paraId="0CC2FC35">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1.资金执行率。202</w:t>
      </w:r>
      <w:r>
        <w:rPr>
          <w:rFonts w:ascii="仿宋" w:hAnsi="仿宋" w:eastAsia="仿宋" w:cs="Times New Roman Regular"/>
          <w:sz w:val="32"/>
          <w:szCs w:val="32"/>
        </w:rPr>
        <w:t>5</w:t>
      </w:r>
      <w:r>
        <w:rPr>
          <w:rFonts w:hint="eastAsia" w:ascii="仿宋" w:hAnsi="仿宋" w:eastAsia="仿宋" w:cs="Times New Roman Regular"/>
          <w:sz w:val="32"/>
          <w:szCs w:val="32"/>
        </w:rPr>
        <w:t>年本单位专项项目资金投入</w:t>
      </w:r>
      <w:r>
        <w:rPr>
          <w:rFonts w:ascii="仿宋" w:hAnsi="仿宋" w:eastAsia="仿宋" w:cs="Times New Roman Regular"/>
          <w:sz w:val="32"/>
          <w:szCs w:val="32"/>
        </w:rPr>
        <w:t>1226.75</w:t>
      </w:r>
      <w:r>
        <w:rPr>
          <w:rFonts w:hint="eastAsia" w:ascii="仿宋" w:hAnsi="仿宋" w:eastAsia="仿宋" w:cs="Times New Roman Regular"/>
          <w:sz w:val="32"/>
          <w:szCs w:val="32"/>
        </w:rPr>
        <w:t>万元，实际执行</w:t>
      </w:r>
      <w:r>
        <w:rPr>
          <w:rFonts w:ascii="仿宋" w:hAnsi="仿宋" w:eastAsia="仿宋" w:cs="Times New Roman Regular"/>
          <w:sz w:val="32"/>
          <w:szCs w:val="32"/>
        </w:rPr>
        <w:t>806.87</w:t>
      </w:r>
      <w:r>
        <w:rPr>
          <w:rFonts w:hint="eastAsia" w:ascii="仿宋" w:hAnsi="仿宋" w:eastAsia="仿宋" w:cs="Times New Roman Regular"/>
          <w:sz w:val="32"/>
          <w:szCs w:val="32"/>
        </w:rPr>
        <w:t>万元，资金执行率</w:t>
      </w:r>
      <w:r>
        <w:rPr>
          <w:rFonts w:ascii="仿宋" w:hAnsi="仿宋" w:eastAsia="仿宋" w:cs="Times New Roman Regular"/>
          <w:sz w:val="32"/>
          <w:szCs w:val="32"/>
        </w:rPr>
        <w:t>65.77</w:t>
      </w:r>
      <w:r>
        <w:rPr>
          <w:rFonts w:hint="eastAsia" w:ascii="仿宋" w:hAnsi="仿宋" w:eastAsia="仿宋" w:cs="Times New Roman Regular"/>
          <w:sz w:val="32"/>
          <w:szCs w:val="32"/>
        </w:rPr>
        <w:t>%。</w:t>
      </w:r>
    </w:p>
    <w:p w14:paraId="2BEB26F2">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2.资金管理制度及执行情况。资金支付符合国家财经法规和财务管理制度以及有关专项资金管理办法的规定，支付手续齐全、审批流程规范，支付凭证合规，不存在现金支付、不合规票据支出等违规现象，没有截留、虚列支出等情况。</w:t>
      </w:r>
    </w:p>
    <w:p w14:paraId="3890488F">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（四）总体绩效目标完成情况分析</w:t>
      </w:r>
    </w:p>
    <w:p w14:paraId="77B77587">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本单位坚持以习近平新时代中国特色社会主义思想为指导，深入贯彻党的二十大、二十届三中、四中全会精神，全面落实省委省政府、市委市政府决策部署，</w:t>
      </w:r>
      <w:r>
        <w:rPr>
          <w:rFonts w:hint="eastAsia" w:ascii="仿宋" w:hAnsi="仿宋" w:eastAsia="仿宋" w:cs="Times New Roman Regular"/>
          <w:sz w:val="32"/>
          <w:szCs w:val="32"/>
          <w:lang w:val="en-US" w:eastAsia="zh-CN"/>
        </w:rPr>
        <w:t>积极</w:t>
      </w:r>
      <w:bookmarkStart w:id="0" w:name="_GoBack"/>
      <w:bookmarkEnd w:id="0"/>
      <w:r>
        <w:rPr>
          <w:rFonts w:hint="eastAsia" w:ascii="仿宋" w:hAnsi="仿宋" w:eastAsia="仿宋" w:cs="Times New Roman Regular"/>
          <w:sz w:val="32"/>
          <w:szCs w:val="32"/>
          <w:lang w:val="en-US" w:eastAsia="zh-CN"/>
        </w:rPr>
        <w:t>推进“机器管招投标”改革，</w:t>
      </w:r>
      <w:r>
        <w:rPr>
          <w:rFonts w:hint="eastAsia" w:ascii="仿宋" w:hAnsi="仿宋" w:eastAsia="仿宋" w:cs="Times New Roman Regular"/>
          <w:sz w:val="32"/>
          <w:szCs w:val="32"/>
        </w:rPr>
        <w:t>紧紧围绕“建设阳光、诚信、安全、高效、人民满意的公共资源交易平台”服务目标，以党建为引领，以改革为动力，以科技为支撑，实现了交易服务质效的全面提升。</w:t>
      </w:r>
    </w:p>
    <w:p w14:paraId="5AC74330">
      <w:pPr>
        <w:spacing w:line="600" w:lineRule="exact"/>
        <w:ind w:firstLine="640" w:firstLineChars="200"/>
        <w:rPr>
          <w:rFonts w:ascii="仿宋" w:hAnsi="仿宋" w:eastAsia="仿宋" w:cs="Times New Roman Regular"/>
          <w:sz w:val="32"/>
          <w:szCs w:val="32"/>
        </w:rPr>
      </w:pPr>
      <w:r>
        <w:rPr>
          <w:rFonts w:ascii="仿宋" w:hAnsi="仿宋" w:eastAsia="仿宋" w:cs="Times New Roman Regular"/>
          <w:sz w:val="32"/>
          <w:szCs w:val="32"/>
        </w:rPr>
        <w:t>全年全市完成公共资源进场交易项目1795宗，同比增长17.01%；交易总额294.92亿元，同比增长0.40%，增收资金4970.67万元，节约资金24.15亿元，交易总额位列全省14个市州第2，再创历史新高，为全市高水平开放高质量发展贡献力量。</w:t>
      </w:r>
    </w:p>
    <w:p w14:paraId="0A49BF19">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1.持续增强服务重大战略能力。主动融入全省旅游发展大会等重大战略部署，精准对接项目交易需求。通过前移工作时间、优化流程等方式，提供“延时服务”328次，解决“怀化市排水管网雨污混接错接改造工程（紫东片区、湖天片区）总承包”等项目开标室预约难等实际问题42个，确保全市重点建设项目早进场、早受理、早安排、早交易，为推进“项目建设年”活动提供坚实保障。</w:t>
      </w:r>
    </w:p>
    <w:p w14:paraId="2C63F611">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2.规范现场管理秩序。严格落实专家物理隔离措施，在全国率先推出“智能胸牌+数字见证”系统，实现评标动态远程见证，巡查人力成本降低70%，评标过程全程可追溯。6月23日使用新建评审专家专用电梯，进一步实现评标专家与其他交易主体分流，有效降低被围猎风险。实行评标专家及招标代理机构“一项目一考评”制度，截至目前，发现并报送违规问题17个，显著提升公共资源交易规范性。</w:t>
      </w:r>
    </w:p>
    <w:p w14:paraId="13A7EDA1">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3.纵深推进全链条监督。深入推进公共资源交易领域及招标投标领域突出问题系统整治，以“零容忍”态度打击违法违规行为。常态化压实统计监督责任，建立数据治理联动机制，开展2022年至今交易数据系统性治理，实现问题数据当日“清零”，确保数据真实准确。完善与纪检、公安等部门常态化数据共享机制，全年配合调取查阅项目交易资料111次，较2024年提升81.96%，提供数据上万条，形成监管合力。</w:t>
      </w:r>
    </w:p>
    <w:p w14:paraId="04D4D66E">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4.不断优化营商环境。落实《湖南省2025年营商环境监测工作方案》，结合实际制定工作方案，力争“招标投标”指标进入全省总体监测单项指标前6名。全面推广电子保函（保险）应用，工程建设项目非现金缴纳保证金占比率从去年93.05%提升至99.05%，为企业减少占用资金4.10亿元；积极推动移动数字证书（CA）全国互认，目前已对接全国30个省、直辖市的750个招标采购平台，切实降低企业交易成本。拓宽远程异地评标合作范围，在全省全覆盖的基础上，与湖北等2省3市建立跨省协作关系。目前已完成主场远程异地评标项目211个、副场项目71个，项目覆盖率达100%，有效打破地域壁垒，提升评标公正性与效率。</w:t>
      </w:r>
    </w:p>
    <w:p w14:paraId="4FB3F77B">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5.积极推进“机器管招投标”改革。省建市用的“机器管招投标”交易系统上线试运行，该系统是人工智能技术在招投标领域应用的体现，通过数字化、模块化、逻辑内嵌的电子招标文件范本体系为牵引，构建覆盖工程建设7大行业34类评标办法的“机器管招投标”数智化平台体系。4月全市首个“机器管招投标”项目——沅陵县老旧小区外城市改造，吸引了全国115家企业参与竞标。2025年，全市“机器管招投标”项目挂网共329个，完成项目交易212个。线上编辑标书、评标人工计算时长均缩短66%左右；外省企业与民营企业参与投标率达34.43%和87.56%，较改革前分别提升11.32%和3.67%；为招标人节约资金5.37亿元，平均节资率为13.36%，比传统模式（4.96%）提高了1.69倍，显著提升了交易效率、公信力、吸引力，交易监管闭环形成有效震慑，解决了招标文件“量体裁衣”和专家滥用“自由裁量权”等问题，项目交易基本实现“打不了招呼，打了招呼也没用”。</w:t>
      </w:r>
    </w:p>
    <w:p w14:paraId="349F54C4">
      <w:pPr>
        <w:spacing w:line="60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6.“信用+招标代理”机制成效显著。怀化市“信用+招标代理”项目自2024年7月入选省“信用+”惠民便企场景建设项目试点以来成效显著,获评为2025年全省信用应用场景建设成果观摩特色项目。构建了“1+N”标准化体系，出台《关于开展“信用+招标代理”试点工作的实施方案》和《怀化市公共资源交易招标代理机构现场行为信用评价细则（试行）》等制度，创新“双承诺双核查”和事前防控、事中阻断、事后闭环的“三阶九步”机制，实现代理机构全流程闭环管理。建设运行怀化市公共资源交易招标代理机构信用评价管理系统移动端扣分录入系统，实现“管理－移动－见证”规范化运行。针对招标代理机构，建立了涵盖企业履约能力、社会责任等多维度的综合信用监管全周期服务体系，为154家企业建立信用档案，实现应建尽建，招标代理机构和投标人主动信用承诺分别为276次与8832次，系统对接管理端动态评价1333个项目，精准拦截失信黑名单企业20户，不断夯实我市公共资源交易领域信用建设基础。</w:t>
      </w:r>
    </w:p>
    <w:p w14:paraId="5A7A5A6C">
      <w:pPr>
        <w:pStyle w:val="14"/>
        <w:numPr>
          <w:ilvl w:val="0"/>
          <w:numId w:val="2"/>
        </w:numPr>
        <w:snapToGrid w:val="0"/>
        <w:spacing w:line="520" w:lineRule="exact"/>
        <w:ind w:firstLineChars="0"/>
        <w:rPr>
          <w:rFonts w:ascii="仿宋" w:hAnsi="仿宋" w:eastAsia="仿宋" w:cs="Times New Roman Regular"/>
          <w:sz w:val="32"/>
          <w:szCs w:val="32"/>
        </w:rPr>
      </w:pPr>
      <w:r>
        <w:rPr>
          <w:rFonts w:hint="eastAsia" w:ascii="仿宋" w:hAnsi="仿宋" w:eastAsia="仿宋" w:cs="Times New Roman Regular"/>
          <w:sz w:val="32"/>
          <w:szCs w:val="32"/>
        </w:rPr>
        <w:t>绩效指标完成情况分析</w:t>
      </w:r>
    </w:p>
    <w:p w14:paraId="6175FAB7">
      <w:pPr>
        <w:snapToGrid w:val="0"/>
        <w:spacing w:line="520" w:lineRule="exact"/>
        <w:ind w:left="640"/>
        <w:rPr>
          <w:rFonts w:ascii="仿宋" w:hAnsi="仿宋" w:eastAsia="仿宋" w:cs="Times New Roman Regular"/>
          <w:sz w:val="32"/>
          <w:szCs w:val="32"/>
        </w:rPr>
      </w:pPr>
      <w:r>
        <w:rPr>
          <w:rFonts w:hint="eastAsia" w:ascii="仿宋" w:hAnsi="仿宋" w:eastAsia="仿宋" w:cs="Times New Roman Regular"/>
          <w:sz w:val="32"/>
          <w:szCs w:val="32"/>
        </w:rPr>
        <w:t>1.成本指标</w:t>
      </w:r>
    </w:p>
    <w:p w14:paraId="23F75DD3">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项目成本控制小于等于</w:t>
      </w:r>
      <w:r>
        <w:rPr>
          <w:rFonts w:ascii="仿宋" w:hAnsi="仿宋" w:eastAsia="仿宋" w:cs="Times New Roman Regular"/>
          <w:sz w:val="32"/>
          <w:szCs w:val="32"/>
        </w:rPr>
        <w:t>806.87</w:t>
      </w:r>
      <w:r>
        <w:rPr>
          <w:rFonts w:hint="eastAsia" w:ascii="仿宋" w:hAnsi="仿宋" w:eastAsia="仿宋" w:cs="Times New Roman Regular"/>
          <w:sz w:val="32"/>
          <w:szCs w:val="32"/>
        </w:rPr>
        <w:t>万元。完成年初目标。</w:t>
      </w:r>
    </w:p>
    <w:p w14:paraId="0F9449D7">
      <w:pPr>
        <w:snapToGrid w:val="0"/>
        <w:spacing w:line="520" w:lineRule="exact"/>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2.产出指标</w:t>
      </w:r>
    </w:p>
    <w:p w14:paraId="1B68C43E">
      <w:pPr>
        <w:pStyle w:val="2"/>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交易宗数大于等于</w:t>
      </w:r>
      <w:r>
        <w:rPr>
          <w:rFonts w:ascii="仿宋" w:hAnsi="仿宋" w:eastAsia="仿宋" w:cs="Times New Roman Regular"/>
          <w:sz w:val="32"/>
          <w:szCs w:val="32"/>
        </w:rPr>
        <w:t>1795</w:t>
      </w:r>
      <w:r>
        <w:rPr>
          <w:rFonts w:hint="eastAsia" w:ascii="仿宋" w:hAnsi="仿宋" w:eastAsia="仿宋" w:cs="Times New Roman Regular"/>
          <w:sz w:val="32"/>
          <w:szCs w:val="32"/>
        </w:rPr>
        <w:t>宗；质量达标率100%；项目在2025年12月31日之前及时完成。完成年初目标。</w:t>
      </w:r>
    </w:p>
    <w:p w14:paraId="24AD14F0">
      <w:pPr>
        <w:snapToGrid w:val="0"/>
        <w:spacing w:line="520" w:lineRule="exact"/>
        <w:ind w:left="640"/>
        <w:rPr>
          <w:rFonts w:ascii="仿宋" w:hAnsi="仿宋" w:eastAsia="仿宋" w:cs="Times New Roman Regular"/>
          <w:sz w:val="32"/>
          <w:szCs w:val="32"/>
        </w:rPr>
      </w:pPr>
      <w:r>
        <w:rPr>
          <w:rFonts w:hint="eastAsia" w:ascii="仿宋" w:hAnsi="仿宋" w:eastAsia="仿宋" w:cs="Times New Roman Regular"/>
          <w:sz w:val="32"/>
          <w:szCs w:val="32"/>
        </w:rPr>
        <w:t>3.效益指标</w:t>
      </w:r>
    </w:p>
    <w:p w14:paraId="766DFC9B">
      <w:pPr>
        <w:pStyle w:val="2"/>
        <w:ind w:firstLine="640" w:firstLineChars="200"/>
        <w:rPr>
          <w:rFonts w:ascii="仿宋" w:hAnsi="仿宋" w:eastAsia="仿宋" w:cs="Times New Roman Regular"/>
          <w:sz w:val="32"/>
          <w:szCs w:val="32"/>
        </w:rPr>
      </w:pPr>
      <w:r>
        <w:rPr>
          <w:rFonts w:ascii="仿宋" w:hAnsi="仿宋" w:eastAsia="仿宋" w:cs="Times New Roman Regular"/>
          <w:sz w:val="32"/>
          <w:szCs w:val="32"/>
        </w:rPr>
        <w:t>充分发挥专项资金效益</w:t>
      </w:r>
      <w:r>
        <w:rPr>
          <w:rFonts w:hint="eastAsia" w:ascii="仿宋" w:hAnsi="仿宋" w:eastAsia="仿宋" w:cs="Times New Roman Regular"/>
          <w:sz w:val="32"/>
          <w:szCs w:val="32"/>
        </w:rPr>
        <w:t>；提高交易服务工作业务水平。完成年初目标。</w:t>
      </w:r>
    </w:p>
    <w:p w14:paraId="6A8915D0">
      <w:pPr>
        <w:snapToGrid w:val="0"/>
        <w:spacing w:line="520" w:lineRule="exact"/>
        <w:ind w:left="640"/>
        <w:rPr>
          <w:rFonts w:ascii="仿宋" w:hAnsi="仿宋" w:eastAsia="仿宋" w:cs="Times New Roman Regular"/>
          <w:sz w:val="32"/>
          <w:szCs w:val="32"/>
        </w:rPr>
      </w:pPr>
      <w:r>
        <w:rPr>
          <w:rFonts w:hint="eastAsia" w:ascii="仿宋" w:hAnsi="仿宋" w:eastAsia="仿宋" w:cs="Times New Roman Regular"/>
          <w:sz w:val="32"/>
          <w:szCs w:val="32"/>
        </w:rPr>
        <w:t>4.满意度指标</w:t>
      </w:r>
    </w:p>
    <w:p w14:paraId="4098036F">
      <w:pPr>
        <w:pStyle w:val="2"/>
        <w:ind w:firstLine="640" w:firstLineChars="200"/>
        <w:rPr>
          <w:rFonts w:ascii="仿宋" w:hAnsi="仿宋" w:eastAsia="仿宋" w:cs="Times New Roman Regular"/>
          <w:sz w:val="32"/>
          <w:szCs w:val="32"/>
        </w:rPr>
      </w:pPr>
      <w:r>
        <w:rPr>
          <w:rFonts w:ascii="仿宋" w:hAnsi="仿宋" w:eastAsia="仿宋" w:cs="Times New Roman Regular"/>
          <w:sz w:val="32"/>
          <w:szCs w:val="32"/>
        </w:rPr>
        <w:t>社会公众满意度</w:t>
      </w:r>
      <w:r>
        <w:rPr>
          <w:rFonts w:hint="eastAsia" w:ascii="仿宋" w:hAnsi="仿宋" w:eastAsia="仿宋" w:cs="Times New Roman Regular"/>
          <w:sz w:val="32"/>
          <w:szCs w:val="32"/>
        </w:rPr>
        <w:t>大于等于95%。完成年初目标。</w:t>
      </w:r>
    </w:p>
    <w:p w14:paraId="33714A50">
      <w:pPr>
        <w:numPr>
          <w:ilvl w:val="0"/>
          <w:numId w:val="3"/>
        </w:num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项目自评发现的问题及整改措施</w:t>
      </w:r>
    </w:p>
    <w:p w14:paraId="6C89C6B9">
      <w:pPr>
        <w:pStyle w:val="2"/>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一）项目预算资金执行未完全到位.因建设项目没有达到验收标准，不具备合同付款条件,项目经费不能支付,导致年初预算数与决算数有差异。本单位将加强预算编制工作，严格按照预算编制的相关制度和要求进行预算编制，按照年初预算加快推进项目建设进度,尽量压缩变动性的、有控制空间的费用项目，进一步提高预算编制的科学性、严谨性和可控性。</w:t>
      </w:r>
    </w:p>
    <w:p w14:paraId="3B2496A1">
      <w:pPr>
        <w:pStyle w:val="2"/>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（二）绩效目标设置不够规范，绩效指标的目标值有待进一步量化。加强对绩效目标的审核，保证各部室严格按照部门职责和工作计划，提炼出对应的数量、质量、时效以及效益指标，确保指标设定合理、合规。</w:t>
      </w:r>
    </w:p>
    <w:p w14:paraId="740A62C1">
      <w:p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五、项目自评工作建议及预算安排建议</w:t>
      </w:r>
    </w:p>
    <w:p w14:paraId="1298B0F3">
      <w:pPr>
        <w:pStyle w:val="2"/>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建议加强对各预算单位预算项目申报工作的业务指导，促使项目编制更加符合绩效评价相关要求，适时开展培训，提高各预算单位对专项资金绩效自评工作重要性的认识，牢固树立绩效管理理念，提升绩效自评工作水平。</w:t>
      </w:r>
    </w:p>
    <w:p w14:paraId="4BA774A2">
      <w:pPr>
        <w:snapToGrid w:val="0"/>
        <w:spacing w:line="520" w:lineRule="exact"/>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六、其他需要说明的问题</w:t>
      </w:r>
      <w:r>
        <w:rPr>
          <w:rFonts w:hint="eastAsia" w:ascii="仿宋" w:hAnsi="仿宋" w:eastAsia="仿宋" w:cs="方正黑体_GBK"/>
          <w:b/>
          <w:bCs/>
          <w:sz w:val="32"/>
          <w:szCs w:val="32"/>
        </w:rPr>
        <w:tab/>
      </w:r>
    </w:p>
    <w:p w14:paraId="6FB0D592">
      <w:pPr>
        <w:pStyle w:val="2"/>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本次绩效评价以账务数据为准。</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C31247-0C10-480A-97D0-E591996171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1D1A9EE9-C694-41A1-A430-EFD8F2934A69}"/>
  </w:font>
  <w:font w:name="Times New Roman Regular">
    <w:altName w:val="Times New Roman"/>
    <w:panose1 w:val="00000000000000000000"/>
    <w:charset w:val="00"/>
    <w:family w:val="auto"/>
    <w:pitch w:val="default"/>
    <w:sig w:usb0="00000000" w:usb1="00000000" w:usb2="00000009" w:usb3="00000000" w:csb0="400001FF" w:csb1="FFFF0000"/>
    <w:embedRegular r:id="rId3" w:fontKey="{82042478-E71E-48BE-A4CE-7F390BEACAD6}"/>
  </w:font>
  <w:font w:name="方正黑体_GBK">
    <w:altName w:val="微软雅黑"/>
    <w:panose1 w:val="00000000000000000000"/>
    <w:charset w:val="86"/>
    <w:family w:val="auto"/>
    <w:pitch w:val="default"/>
    <w:sig w:usb0="00000000" w:usb1="00000000" w:usb2="00000000" w:usb3="00000000" w:csb0="00040000" w:csb1="00000000"/>
    <w:embedRegular r:id="rId4" w:fontKey="{0505CF37-B64C-4B08-904E-3013C1DCE1C8}"/>
  </w:font>
  <w:font w:name="微软雅黑">
    <w:panose1 w:val="020B0503020204020204"/>
    <w:charset w:val="86"/>
    <w:family w:val="swiss"/>
    <w:pitch w:val="default"/>
    <w:sig w:usb0="80000287" w:usb1="2ACF3C50" w:usb2="00000016" w:usb3="00000000" w:csb0="0004001F" w:csb1="00000000"/>
    <w:embedRegular r:id="rId5" w:fontKey="{22837934-C60B-4281-9AA8-EDF35BF22411}"/>
  </w:font>
  <w:font w:name="___WRD_EMBED_SUB_47">
    <w:altName w:val="宋体"/>
    <w:panose1 w:val="00000000000000000000"/>
    <w:charset w:val="86"/>
    <w:family w:val="auto"/>
    <w:pitch w:val="default"/>
    <w:sig w:usb0="00000000" w:usb1="00000000" w:usb2="00000012" w:usb3="00000000" w:csb0="00040001" w:csb1="00000000"/>
    <w:embedRegular r:id="rId6" w:fontKey="{5B59483B-C410-44DE-AE9D-04DECCB0039E}"/>
  </w:font>
  <w:font w:name="方正仿宋_GB2312">
    <w:altName w:val="仿宋"/>
    <w:panose1 w:val="00000000000000000000"/>
    <w:charset w:val="86"/>
    <w:family w:val="auto"/>
    <w:pitch w:val="default"/>
    <w:sig w:usb0="00000000" w:usb1="00000000" w:usb2="00000012" w:usb3="00000000" w:csb0="00040001" w:csb1="00000000"/>
    <w:embedRegular r:id="rId7" w:fontKey="{D0436ED6-9051-4C5F-B32D-1DC589A63561}"/>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07E24">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267E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ascii="方正仿宋_GB2312" w:hAnsi="方正仿宋_GB2312" w:eastAsia="方正仿宋_GB2312" w:cs="方正仿宋_GB2312"/>
                              <w:sz w:val="28"/>
                              <w:szCs w:val="28"/>
                            </w:rPr>
                            <w:t>9</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27267E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ascii="方正仿宋_GB2312" w:hAnsi="方正仿宋_GB2312" w:eastAsia="方正仿宋_GB2312" w:cs="方正仿宋_GB2312"/>
                        <w:sz w:val="28"/>
                        <w:szCs w:val="28"/>
                      </w:rPr>
                      <w:t>9</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21C82"/>
    <w:multiLevelType w:val="singleLevel"/>
    <w:tmpl w:val="81721C82"/>
    <w:lvl w:ilvl="0" w:tentative="0">
      <w:start w:val="1"/>
      <w:numFmt w:val="chineseCounting"/>
      <w:suff w:val="nothing"/>
      <w:lvlText w:val="（%1）"/>
      <w:lvlJc w:val="left"/>
      <w:rPr>
        <w:rFonts w:hint="eastAsia"/>
      </w:rPr>
    </w:lvl>
  </w:abstractNum>
  <w:abstractNum w:abstractNumId="1">
    <w:nsid w:val="07B73EED"/>
    <w:multiLevelType w:val="singleLevel"/>
    <w:tmpl w:val="07B73EED"/>
    <w:lvl w:ilvl="0" w:tentative="0">
      <w:start w:val="4"/>
      <w:numFmt w:val="chineseCounting"/>
      <w:suff w:val="nothing"/>
      <w:lvlText w:val="%1、"/>
      <w:lvlJc w:val="left"/>
      <w:rPr>
        <w:rFonts w:hint="eastAsia"/>
      </w:rPr>
    </w:lvl>
  </w:abstractNum>
  <w:abstractNum w:abstractNumId="2">
    <w:nsid w:val="20F05142"/>
    <w:multiLevelType w:val="multilevel"/>
    <w:tmpl w:val="20F05142"/>
    <w:lvl w:ilvl="0" w:tentative="0">
      <w:start w:val="5"/>
      <w:numFmt w:val="japaneseCounting"/>
      <w:lvlText w:val="（%1）"/>
      <w:lvlJc w:val="left"/>
      <w:pPr>
        <w:ind w:left="172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jYmJkZTgyZjQzZTk3ZTUzMWNlNWIzZDJmYjY5OGMifQ=="/>
    <w:docVar w:name="KSO_WPS_MARK_KEY" w:val="9920a277-c0c3-43b4-93d3-1636fe398e0b"/>
  </w:docVars>
  <w:rsids>
    <w:rsidRoot w:val="753C4E9B"/>
    <w:rsid w:val="00007B0D"/>
    <w:rsid w:val="000156AF"/>
    <w:rsid w:val="0003281C"/>
    <w:rsid w:val="0003733F"/>
    <w:rsid w:val="000478EF"/>
    <w:rsid w:val="000A002F"/>
    <w:rsid w:val="000A04B2"/>
    <w:rsid w:val="000B1A5D"/>
    <w:rsid w:val="000C3DA7"/>
    <w:rsid w:val="000D0D1E"/>
    <w:rsid w:val="000E02F1"/>
    <w:rsid w:val="000F3046"/>
    <w:rsid w:val="00121D6A"/>
    <w:rsid w:val="0014249F"/>
    <w:rsid w:val="00170902"/>
    <w:rsid w:val="001751EA"/>
    <w:rsid w:val="0018326E"/>
    <w:rsid w:val="001B2005"/>
    <w:rsid w:val="001B298A"/>
    <w:rsid w:val="001E5896"/>
    <w:rsid w:val="001F617F"/>
    <w:rsid w:val="001F6F4B"/>
    <w:rsid w:val="0023683D"/>
    <w:rsid w:val="002733B2"/>
    <w:rsid w:val="00273BB1"/>
    <w:rsid w:val="00273FCD"/>
    <w:rsid w:val="002B2773"/>
    <w:rsid w:val="002D5E72"/>
    <w:rsid w:val="002E316F"/>
    <w:rsid w:val="00305D75"/>
    <w:rsid w:val="00327CB1"/>
    <w:rsid w:val="003500F3"/>
    <w:rsid w:val="0035505E"/>
    <w:rsid w:val="003850CE"/>
    <w:rsid w:val="003860B8"/>
    <w:rsid w:val="003B08F3"/>
    <w:rsid w:val="003B7650"/>
    <w:rsid w:val="003D21B2"/>
    <w:rsid w:val="003D5DED"/>
    <w:rsid w:val="004117C8"/>
    <w:rsid w:val="00437232"/>
    <w:rsid w:val="004431DE"/>
    <w:rsid w:val="00456D2E"/>
    <w:rsid w:val="00463E08"/>
    <w:rsid w:val="004668D8"/>
    <w:rsid w:val="00466EA3"/>
    <w:rsid w:val="00487FAB"/>
    <w:rsid w:val="00493E72"/>
    <w:rsid w:val="004B729A"/>
    <w:rsid w:val="004C2F2B"/>
    <w:rsid w:val="004C39FC"/>
    <w:rsid w:val="004D3D50"/>
    <w:rsid w:val="004E4462"/>
    <w:rsid w:val="004F097E"/>
    <w:rsid w:val="0050304A"/>
    <w:rsid w:val="0051734C"/>
    <w:rsid w:val="0051768D"/>
    <w:rsid w:val="00523B33"/>
    <w:rsid w:val="00523C21"/>
    <w:rsid w:val="00533FE0"/>
    <w:rsid w:val="00535410"/>
    <w:rsid w:val="00536A8B"/>
    <w:rsid w:val="005531E4"/>
    <w:rsid w:val="00554970"/>
    <w:rsid w:val="005807E1"/>
    <w:rsid w:val="005A6B33"/>
    <w:rsid w:val="005C3BC0"/>
    <w:rsid w:val="005C5035"/>
    <w:rsid w:val="005C6DD4"/>
    <w:rsid w:val="005C7D6E"/>
    <w:rsid w:val="005F6305"/>
    <w:rsid w:val="006032CC"/>
    <w:rsid w:val="0060415E"/>
    <w:rsid w:val="006350DE"/>
    <w:rsid w:val="00682FCD"/>
    <w:rsid w:val="006A78CA"/>
    <w:rsid w:val="006C741D"/>
    <w:rsid w:val="00713C90"/>
    <w:rsid w:val="00733938"/>
    <w:rsid w:val="00737669"/>
    <w:rsid w:val="0074614D"/>
    <w:rsid w:val="00753621"/>
    <w:rsid w:val="00766469"/>
    <w:rsid w:val="00772898"/>
    <w:rsid w:val="007837A2"/>
    <w:rsid w:val="007B333A"/>
    <w:rsid w:val="007D2FD5"/>
    <w:rsid w:val="007D50C4"/>
    <w:rsid w:val="007E1550"/>
    <w:rsid w:val="007E3234"/>
    <w:rsid w:val="007F2413"/>
    <w:rsid w:val="00800E78"/>
    <w:rsid w:val="008065B1"/>
    <w:rsid w:val="0082573D"/>
    <w:rsid w:val="008546B1"/>
    <w:rsid w:val="008650A7"/>
    <w:rsid w:val="00867467"/>
    <w:rsid w:val="00876338"/>
    <w:rsid w:val="008806C9"/>
    <w:rsid w:val="00887AD9"/>
    <w:rsid w:val="008A3E05"/>
    <w:rsid w:val="008B3BD9"/>
    <w:rsid w:val="009410B8"/>
    <w:rsid w:val="0096121C"/>
    <w:rsid w:val="009667D3"/>
    <w:rsid w:val="00972156"/>
    <w:rsid w:val="00977E4D"/>
    <w:rsid w:val="00980AC1"/>
    <w:rsid w:val="00991AD8"/>
    <w:rsid w:val="009A4AC0"/>
    <w:rsid w:val="009B3FDE"/>
    <w:rsid w:val="009C11F7"/>
    <w:rsid w:val="009C22D1"/>
    <w:rsid w:val="009E2A9F"/>
    <w:rsid w:val="009F1C1B"/>
    <w:rsid w:val="009F2BC5"/>
    <w:rsid w:val="00A00490"/>
    <w:rsid w:val="00A2483D"/>
    <w:rsid w:val="00A4593F"/>
    <w:rsid w:val="00A73766"/>
    <w:rsid w:val="00A93BE7"/>
    <w:rsid w:val="00A93C40"/>
    <w:rsid w:val="00AC4C1D"/>
    <w:rsid w:val="00AE545D"/>
    <w:rsid w:val="00AF6987"/>
    <w:rsid w:val="00B03648"/>
    <w:rsid w:val="00B201E0"/>
    <w:rsid w:val="00B47DBD"/>
    <w:rsid w:val="00B53EFF"/>
    <w:rsid w:val="00B66DA6"/>
    <w:rsid w:val="00B7199E"/>
    <w:rsid w:val="00B74996"/>
    <w:rsid w:val="00B80089"/>
    <w:rsid w:val="00B82F9A"/>
    <w:rsid w:val="00B943A8"/>
    <w:rsid w:val="00B97C64"/>
    <w:rsid w:val="00BC3479"/>
    <w:rsid w:val="00BD04BC"/>
    <w:rsid w:val="00BD3B3E"/>
    <w:rsid w:val="00BD4549"/>
    <w:rsid w:val="00BE6D54"/>
    <w:rsid w:val="00BF7F12"/>
    <w:rsid w:val="00C10E0B"/>
    <w:rsid w:val="00C129EE"/>
    <w:rsid w:val="00C21C06"/>
    <w:rsid w:val="00C23D06"/>
    <w:rsid w:val="00C55994"/>
    <w:rsid w:val="00C74C0A"/>
    <w:rsid w:val="00C84737"/>
    <w:rsid w:val="00CA1D51"/>
    <w:rsid w:val="00CB013B"/>
    <w:rsid w:val="00CB0F38"/>
    <w:rsid w:val="00CB1C67"/>
    <w:rsid w:val="00CB528D"/>
    <w:rsid w:val="00CF167D"/>
    <w:rsid w:val="00D02F5D"/>
    <w:rsid w:val="00D10C03"/>
    <w:rsid w:val="00D23DA2"/>
    <w:rsid w:val="00D45905"/>
    <w:rsid w:val="00D60BBA"/>
    <w:rsid w:val="00D66164"/>
    <w:rsid w:val="00D73A1E"/>
    <w:rsid w:val="00D91295"/>
    <w:rsid w:val="00D95D25"/>
    <w:rsid w:val="00DB18C7"/>
    <w:rsid w:val="00DC354A"/>
    <w:rsid w:val="00DE2932"/>
    <w:rsid w:val="00DE5570"/>
    <w:rsid w:val="00E00778"/>
    <w:rsid w:val="00E0116E"/>
    <w:rsid w:val="00E10607"/>
    <w:rsid w:val="00E143BA"/>
    <w:rsid w:val="00E76E6D"/>
    <w:rsid w:val="00E87A83"/>
    <w:rsid w:val="00EA7758"/>
    <w:rsid w:val="00EB7D19"/>
    <w:rsid w:val="00EC3E32"/>
    <w:rsid w:val="00F103C1"/>
    <w:rsid w:val="00F11943"/>
    <w:rsid w:val="00F303E9"/>
    <w:rsid w:val="00F32BB9"/>
    <w:rsid w:val="00F61C13"/>
    <w:rsid w:val="00F6709E"/>
    <w:rsid w:val="00F763C0"/>
    <w:rsid w:val="00F9676D"/>
    <w:rsid w:val="00F97A4E"/>
    <w:rsid w:val="00FA33C6"/>
    <w:rsid w:val="00FA44A4"/>
    <w:rsid w:val="00FA56CA"/>
    <w:rsid w:val="00FD64F0"/>
    <w:rsid w:val="00FE7858"/>
    <w:rsid w:val="00FF4470"/>
    <w:rsid w:val="00FF5E7C"/>
    <w:rsid w:val="018A7679"/>
    <w:rsid w:val="018D0AE9"/>
    <w:rsid w:val="01A21D6C"/>
    <w:rsid w:val="02290C40"/>
    <w:rsid w:val="02467A44"/>
    <w:rsid w:val="02BD75DA"/>
    <w:rsid w:val="02CC3DCA"/>
    <w:rsid w:val="02CE1487"/>
    <w:rsid w:val="03077138"/>
    <w:rsid w:val="030C5432"/>
    <w:rsid w:val="030F3021"/>
    <w:rsid w:val="032B7CD9"/>
    <w:rsid w:val="033E696D"/>
    <w:rsid w:val="03741F6C"/>
    <w:rsid w:val="03863E70"/>
    <w:rsid w:val="03B604E9"/>
    <w:rsid w:val="048E715A"/>
    <w:rsid w:val="04D70E27"/>
    <w:rsid w:val="05785C74"/>
    <w:rsid w:val="05E355AA"/>
    <w:rsid w:val="05E95AA6"/>
    <w:rsid w:val="062B705F"/>
    <w:rsid w:val="06530982"/>
    <w:rsid w:val="066A7D90"/>
    <w:rsid w:val="066F6E3E"/>
    <w:rsid w:val="06825158"/>
    <w:rsid w:val="06DD5B44"/>
    <w:rsid w:val="06E332B7"/>
    <w:rsid w:val="076624BA"/>
    <w:rsid w:val="078828AD"/>
    <w:rsid w:val="082279B0"/>
    <w:rsid w:val="093D1541"/>
    <w:rsid w:val="0A1E0205"/>
    <w:rsid w:val="0B27056C"/>
    <w:rsid w:val="0B4765DB"/>
    <w:rsid w:val="0C180A78"/>
    <w:rsid w:val="0C4168A8"/>
    <w:rsid w:val="0C590F18"/>
    <w:rsid w:val="0CAF0888"/>
    <w:rsid w:val="0D276746"/>
    <w:rsid w:val="0D464D9C"/>
    <w:rsid w:val="0D9045E5"/>
    <w:rsid w:val="0D915FD8"/>
    <w:rsid w:val="0DB0116C"/>
    <w:rsid w:val="0DD52794"/>
    <w:rsid w:val="0E01043C"/>
    <w:rsid w:val="0E372618"/>
    <w:rsid w:val="0E956870"/>
    <w:rsid w:val="0EA65DF4"/>
    <w:rsid w:val="0EBB38BF"/>
    <w:rsid w:val="0EE5282B"/>
    <w:rsid w:val="0F242EBB"/>
    <w:rsid w:val="0F625791"/>
    <w:rsid w:val="0FC02FEF"/>
    <w:rsid w:val="10384339"/>
    <w:rsid w:val="103C540E"/>
    <w:rsid w:val="10C666A5"/>
    <w:rsid w:val="11802A42"/>
    <w:rsid w:val="11FC3C7B"/>
    <w:rsid w:val="12071360"/>
    <w:rsid w:val="1213563A"/>
    <w:rsid w:val="12151ECE"/>
    <w:rsid w:val="1223366A"/>
    <w:rsid w:val="12645AF3"/>
    <w:rsid w:val="126D6927"/>
    <w:rsid w:val="12865C3B"/>
    <w:rsid w:val="12CB20B3"/>
    <w:rsid w:val="13596EAB"/>
    <w:rsid w:val="13702B73"/>
    <w:rsid w:val="138403CC"/>
    <w:rsid w:val="13B14444"/>
    <w:rsid w:val="143877FD"/>
    <w:rsid w:val="1472415E"/>
    <w:rsid w:val="14C75888"/>
    <w:rsid w:val="15637209"/>
    <w:rsid w:val="158B3BF8"/>
    <w:rsid w:val="15973CBB"/>
    <w:rsid w:val="16090E6F"/>
    <w:rsid w:val="16355420"/>
    <w:rsid w:val="165A7400"/>
    <w:rsid w:val="16822038"/>
    <w:rsid w:val="169C37CB"/>
    <w:rsid w:val="16BB05C9"/>
    <w:rsid w:val="16E13640"/>
    <w:rsid w:val="16FD6993"/>
    <w:rsid w:val="1700759E"/>
    <w:rsid w:val="176A6FE5"/>
    <w:rsid w:val="1791130A"/>
    <w:rsid w:val="17C66384"/>
    <w:rsid w:val="17FCFFF6"/>
    <w:rsid w:val="18194E5B"/>
    <w:rsid w:val="184B4856"/>
    <w:rsid w:val="18ED431E"/>
    <w:rsid w:val="18F06FEA"/>
    <w:rsid w:val="191065C7"/>
    <w:rsid w:val="193A4B2E"/>
    <w:rsid w:val="1965563C"/>
    <w:rsid w:val="197B5111"/>
    <w:rsid w:val="19837F1B"/>
    <w:rsid w:val="19E805B2"/>
    <w:rsid w:val="1A04275F"/>
    <w:rsid w:val="1AC714F1"/>
    <w:rsid w:val="1BB27AA1"/>
    <w:rsid w:val="1BE51C24"/>
    <w:rsid w:val="1BFD6F6E"/>
    <w:rsid w:val="1C6E7E6B"/>
    <w:rsid w:val="1C7F3E27"/>
    <w:rsid w:val="1C8566EE"/>
    <w:rsid w:val="1CAC629E"/>
    <w:rsid w:val="1CBF872E"/>
    <w:rsid w:val="1CD344D8"/>
    <w:rsid w:val="1CF0262F"/>
    <w:rsid w:val="1CF810CC"/>
    <w:rsid w:val="1E601A36"/>
    <w:rsid w:val="1ECC0E79"/>
    <w:rsid w:val="1F31278E"/>
    <w:rsid w:val="1F533A49"/>
    <w:rsid w:val="1F576995"/>
    <w:rsid w:val="1F62533A"/>
    <w:rsid w:val="1FF40A7E"/>
    <w:rsid w:val="20126D60"/>
    <w:rsid w:val="203F49D7"/>
    <w:rsid w:val="205D1159"/>
    <w:rsid w:val="20851E61"/>
    <w:rsid w:val="20B56069"/>
    <w:rsid w:val="21040C2B"/>
    <w:rsid w:val="220426D8"/>
    <w:rsid w:val="220B3A67"/>
    <w:rsid w:val="22235254"/>
    <w:rsid w:val="222C5B8B"/>
    <w:rsid w:val="22323BCB"/>
    <w:rsid w:val="224439AE"/>
    <w:rsid w:val="227E2874"/>
    <w:rsid w:val="22FE234B"/>
    <w:rsid w:val="23072219"/>
    <w:rsid w:val="23CD191B"/>
    <w:rsid w:val="24457704"/>
    <w:rsid w:val="2498613B"/>
    <w:rsid w:val="25517EDB"/>
    <w:rsid w:val="25897AC4"/>
    <w:rsid w:val="25CE1002"/>
    <w:rsid w:val="25F63A4B"/>
    <w:rsid w:val="26AB6098"/>
    <w:rsid w:val="277E6F02"/>
    <w:rsid w:val="27814EF7"/>
    <w:rsid w:val="27870033"/>
    <w:rsid w:val="27EB6814"/>
    <w:rsid w:val="28930410"/>
    <w:rsid w:val="28E219C5"/>
    <w:rsid w:val="28EB63A0"/>
    <w:rsid w:val="290B259E"/>
    <w:rsid w:val="295D729E"/>
    <w:rsid w:val="2976489F"/>
    <w:rsid w:val="2995635F"/>
    <w:rsid w:val="29990575"/>
    <w:rsid w:val="2A0B6CFA"/>
    <w:rsid w:val="2A626118"/>
    <w:rsid w:val="2AB1497C"/>
    <w:rsid w:val="2AF6742D"/>
    <w:rsid w:val="2B193CEA"/>
    <w:rsid w:val="2B3C17C4"/>
    <w:rsid w:val="2B82123D"/>
    <w:rsid w:val="2C500F73"/>
    <w:rsid w:val="2CDC2780"/>
    <w:rsid w:val="2CE61358"/>
    <w:rsid w:val="2CF9016D"/>
    <w:rsid w:val="2D157E8F"/>
    <w:rsid w:val="2D1A2751"/>
    <w:rsid w:val="2D3E0EB4"/>
    <w:rsid w:val="2D4C1B03"/>
    <w:rsid w:val="2DB63A2B"/>
    <w:rsid w:val="2E764C99"/>
    <w:rsid w:val="2F1458EF"/>
    <w:rsid w:val="2F1F0B51"/>
    <w:rsid w:val="2F90084E"/>
    <w:rsid w:val="2FA86931"/>
    <w:rsid w:val="2FEC58C6"/>
    <w:rsid w:val="309A7A3E"/>
    <w:rsid w:val="30BD4AC6"/>
    <w:rsid w:val="30D06101"/>
    <w:rsid w:val="30DD0CC4"/>
    <w:rsid w:val="312A2265"/>
    <w:rsid w:val="31745184"/>
    <w:rsid w:val="317A4765"/>
    <w:rsid w:val="31C14142"/>
    <w:rsid w:val="31DC0D66"/>
    <w:rsid w:val="32344FAC"/>
    <w:rsid w:val="329218AB"/>
    <w:rsid w:val="33020B14"/>
    <w:rsid w:val="3339603D"/>
    <w:rsid w:val="333F3E43"/>
    <w:rsid w:val="336D2B84"/>
    <w:rsid w:val="337C0FFF"/>
    <w:rsid w:val="33AD634D"/>
    <w:rsid w:val="34565FCE"/>
    <w:rsid w:val="34C75A4A"/>
    <w:rsid w:val="34D914C4"/>
    <w:rsid w:val="353B58E2"/>
    <w:rsid w:val="35870510"/>
    <w:rsid w:val="35CF5088"/>
    <w:rsid w:val="360168C5"/>
    <w:rsid w:val="3619279E"/>
    <w:rsid w:val="361A4C88"/>
    <w:rsid w:val="36213401"/>
    <w:rsid w:val="36C7044C"/>
    <w:rsid w:val="36C85C26"/>
    <w:rsid w:val="36E42DAC"/>
    <w:rsid w:val="36FC0F5D"/>
    <w:rsid w:val="37182A56"/>
    <w:rsid w:val="375773F8"/>
    <w:rsid w:val="37B00EE0"/>
    <w:rsid w:val="37C156A9"/>
    <w:rsid w:val="37E312B6"/>
    <w:rsid w:val="37E74B44"/>
    <w:rsid w:val="38213B8C"/>
    <w:rsid w:val="38284F1B"/>
    <w:rsid w:val="382E27FC"/>
    <w:rsid w:val="382F7AF7"/>
    <w:rsid w:val="38BF587F"/>
    <w:rsid w:val="38ED43BF"/>
    <w:rsid w:val="38F042A5"/>
    <w:rsid w:val="39047736"/>
    <w:rsid w:val="393E32BB"/>
    <w:rsid w:val="3A97102A"/>
    <w:rsid w:val="3AB4576D"/>
    <w:rsid w:val="3AF25F2C"/>
    <w:rsid w:val="3B1B0D67"/>
    <w:rsid w:val="3B6B3A9C"/>
    <w:rsid w:val="3BB96E2F"/>
    <w:rsid w:val="3C413397"/>
    <w:rsid w:val="3C723D61"/>
    <w:rsid w:val="3D3879AE"/>
    <w:rsid w:val="3D491403"/>
    <w:rsid w:val="3D78424E"/>
    <w:rsid w:val="3DB715CA"/>
    <w:rsid w:val="3DD26DE3"/>
    <w:rsid w:val="3E221208"/>
    <w:rsid w:val="3EC13D69"/>
    <w:rsid w:val="3EE33949"/>
    <w:rsid w:val="3EFDDE87"/>
    <w:rsid w:val="3F0833B0"/>
    <w:rsid w:val="3FB157F6"/>
    <w:rsid w:val="3FE27130"/>
    <w:rsid w:val="40095632"/>
    <w:rsid w:val="400A523F"/>
    <w:rsid w:val="403763DD"/>
    <w:rsid w:val="407F76A2"/>
    <w:rsid w:val="40DA7E76"/>
    <w:rsid w:val="40E67721"/>
    <w:rsid w:val="41197AF6"/>
    <w:rsid w:val="41575537"/>
    <w:rsid w:val="41960039"/>
    <w:rsid w:val="419B2857"/>
    <w:rsid w:val="41BB6E00"/>
    <w:rsid w:val="41D71DA8"/>
    <w:rsid w:val="42664FBD"/>
    <w:rsid w:val="426B5D0D"/>
    <w:rsid w:val="42C43A92"/>
    <w:rsid w:val="430E16AD"/>
    <w:rsid w:val="43120CA1"/>
    <w:rsid w:val="43553FA0"/>
    <w:rsid w:val="438C6476"/>
    <w:rsid w:val="439E6E16"/>
    <w:rsid w:val="43CF26F8"/>
    <w:rsid w:val="441445A5"/>
    <w:rsid w:val="44C85ABB"/>
    <w:rsid w:val="45012D7B"/>
    <w:rsid w:val="456A42E1"/>
    <w:rsid w:val="457C0EFB"/>
    <w:rsid w:val="46591D79"/>
    <w:rsid w:val="466727DF"/>
    <w:rsid w:val="46A61E2C"/>
    <w:rsid w:val="46D71FE6"/>
    <w:rsid w:val="46ED7553"/>
    <w:rsid w:val="470D6C14"/>
    <w:rsid w:val="47701FEB"/>
    <w:rsid w:val="477C436F"/>
    <w:rsid w:val="47863C40"/>
    <w:rsid w:val="47C87C98"/>
    <w:rsid w:val="47FE53CC"/>
    <w:rsid w:val="48594C7C"/>
    <w:rsid w:val="48BB7D26"/>
    <w:rsid w:val="49670529"/>
    <w:rsid w:val="4999150E"/>
    <w:rsid w:val="4A78588E"/>
    <w:rsid w:val="4A7B230B"/>
    <w:rsid w:val="4A8E3303"/>
    <w:rsid w:val="4AB362CC"/>
    <w:rsid w:val="4B235061"/>
    <w:rsid w:val="4B7A5635"/>
    <w:rsid w:val="4C0010D8"/>
    <w:rsid w:val="4C343F17"/>
    <w:rsid w:val="4C6611ED"/>
    <w:rsid w:val="4C9F2E67"/>
    <w:rsid w:val="4CB64A77"/>
    <w:rsid w:val="4D010871"/>
    <w:rsid w:val="4D275349"/>
    <w:rsid w:val="4D5D3BD3"/>
    <w:rsid w:val="4DA42E3E"/>
    <w:rsid w:val="4E006DA4"/>
    <w:rsid w:val="4E1C0C26"/>
    <w:rsid w:val="4E807407"/>
    <w:rsid w:val="4EB7F892"/>
    <w:rsid w:val="4EF84368"/>
    <w:rsid w:val="4F1A755C"/>
    <w:rsid w:val="4F1F277C"/>
    <w:rsid w:val="4FE24FA4"/>
    <w:rsid w:val="50264753"/>
    <w:rsid w:val="50324731"/>
    <w:rsid w:val="50770396"/>
    <w:rsid w:val="51220301"/>
    <w:rsid w:val="513D1190"/>
    <w:rsid w:val="51B51175"/>
    <w:rsid w:val="51D102B2"/>
    <w:rsid w:val="51F3430E"/>
    <w:rsid w:val="52A46993"/>
    <w:rsid w:val="52BC4786"/>
    <w:rsid w:val="52C13A04"/>
    <w:rsid w:val="52E934AC"/>
    <w:rsid w:val="538C4C81"/>
    <w:rsid w:val="53BD2563"/>
    <w:rsid w:val="53EF7801"/>
    <w:rsid w:val="53F31090"/>
    <w:rsid w:val="5486329D"/>
    <w:rsid w:val="54A01FF8"/>
    <w:rsid w:val="552503C0"/>
    <w:rsid w:val="552A0475"/>
    <w:rsid w:val="552F7491"/>
    <w:rsid w:val="557D4A95"/>
    <w:rsid w:val="559E39E2"/>
    <w:rsid w:val="55CC16A6"/>
    <w:rsid w:val="560B5B9C"/>
    <w:rsid w:val="562B7C58"/>
    <w:rsid w:val="564638E1"/>
    <w:rsid w:val="56737851"/>
    <w:rsid w:val="56D843E7"/>
    <w:rsid w:val="572172AD"/>
    <w:rsid w:val="57364B06"/>
    <w:rsid w:val="578D10CB"/>
    <w:rsid w:val="58187B81"/>
    <w:rsid w:val="588D4BFA"/>
    <w:rsid w:val="58DD25BE"/>
    <w:rsid w:val="59240D93"/>
    <w:rsid w:val="594A2AEB"/>
    <w:rsid w:val="5958305D"/>
    <w:rsid w:val="59CB0B12"/>
    <w:rsid w:val="5A1460F3"/>
    <w:rsid w:val="5A315E5B"/>
    <w:rsid w:val="5A3A490E"/>
    <w:rsid w:val="5A5915AC"/>
    <w:rsid w:val="5A806BFB"/>
    <w:rsid w:val="5A8831DA"/>
    <w:rsid w:val="5ABBC979"/>
    <w:rsid w:val="5ACD10FB"/>
    <w:rsid w:val="5ACD4674"/>
    <w:rsid w:val="5B2630E4"/>
    <w:rsid w:val="5BDE0628"/>
    <w:rsid w:val="5BFC7B3B"/>
    <w:rsid w:val="5C0F2DC3"/>
    <w:rsid w:val="5C167710"/>
    <w:rsid w:val="5C226A0E"/>
    <w:rsid w:val="5C2F421A"/>
    <w:rsid w:val="5C6217A0"/>
    <w:rsid w:val="5C982D46"/>
    <w:rsid w:val="5CCE050A"/>
    <w:rsid w:val="5DC34C1A"/>
    <w:rsid w:val="5DFA3908"/>
    <w:rsid w:val="5E323B4E"/>
    <w:rsid w:val="5E77C7C6"/>
    <w:rsid w:val="5E7A5C08"/>
    <w:rsid w:val="5EA066A1"/>
    <w:rsid w:val="5EAC56AE"/>
    <w:rsid w:val="5EDA66BF"/>
    <w:rsid w:val="5F0F12C4"/>
    <w:rsid w:val="5F127074"/>
    <w:rsid w:val="5F5A0C98"/>
    <w:rsid w:val="5FA629BF"/>
    <w:rsid w:val="5FF67529"/>
    <w:rsid w:val="5FFFAAE0"/>
    <w:rsid w:val="604858AA"/>
    <w:rsid w:val="60A103D3"/>
    <w:rsid w:val="619012B7"/>
    <w:rsid w:val="62466743"/>
    <w:rsid w:val="625933C2"/>
    <w:rsid w:val="629C7113"/>
    <w:rsid w:val="638B61DA"/>
    <w:rsid w:val="639A641D"/>
    <w:rsid w:val="64550ED7"/>
    <w:rsid w:val="64CF567C"/>
    <w:rsid w:val="6580738E"/>
    <w:rsid w:val="65870C23"/>
    <w:rsid w:val="65AF1C1C"/>
    <w:rsid w:val="65D31F2E"/>
    <w:rsid w:val="661E3335"/>
    <w:rsid w:val="662D7608"/>
    <w:rsid w:val="66347B2F"/>
    <w:rsid w:val="66427B3E"/>
    <w:rsid w:val="664663E8"/>
    <w:rsid w:val="667A315A"/>
    <w:rsid w:val="667FD72C"/>
    <w:rsid w:val="66FA5C7E"/>
    <w:rsid w:val="67BD26DA"/>
    <w:rsid w:val="68231236"/>
    <w:rsid w:val="689245C1"/>
    <w:rsid w:val="68AD274F"/>
    <w:rsid w:val="68EF4822"/>
    <w:rsid w:val="690C1B6B"/>
    <w:rsid w:val="691B73EA"/>
    <w:rsid w:val="694F1A58"/>
    <w:rsid w:val="699C1543"/>
    <w:rsid w:val="69D23162"/>
    <w:rsid w:val="69F858DF"/>
    <w:rsid w:val="6A050368"/>
    <w:rsid w:val="6A12486A"/>
    <w:rsid w:val="6A12716B"/>
    <w:rsid w:val="6A4E3ABD"/>
    <w:rsid w:val="6A892D47"/>
    <w:rsid w:val="6ABE64BE"/>
    <w:rsid w:val="6B5F16C5"/>
    <w:rsid w:val="6B87197D"/>
    <w:rsid w:val="6C2B409A"/>
    <w:rsid w:val="6C4C1071"/>
    <w:rsid w:val="6C6546D2"/>
    <w:rsid w:val="6CC14A1B"/>
    <w:rsid w:val="6CED5810"/>
    <w:rsid w:val="6CF3EA5A"/>
    <w:rsid w:val="6D2D20B0"/>
    <w:rsid w:val="6D605FE2"/>
    <w:rsid w:val="6D9D7236"/>
    <w:rsid w:val="6E0472B5"/>
    <w:rsid w:val="6ED02ACD"/>
    <w:rsid w:val="70A7182D"/>
    <w:rsid w:val="70B052EC"/>
    <w:rsid w:val="70BC0C6D"/>
    <w:rsid w:val="710A39B3"/>
    <w:rsid w:val="71687B5B"/>
    <w:rsid w:val="716F59BA"/>
    <w:rsid w:val="71871854"/>
    <w:rsid w:val="72AC0479"/>
    <w:rsid w:val="72DD5943"/>
    <w:rsid w:val="72E53903"/>
    <w:rsid w:val="734168B5"/>
    <w:rsid w:val="73BC327A"/>
    <w:rsid w:val="74157242"/>
    <w:rsid w:val="74A4374A"/>
    <w:rsid w:val="74A8783F"/>
    <w:rsid w:val="74E40210"/>
    <w:rsid w:val="74FD4A5E"/>
    <w:rsid w:val="750875AC"/>
    <w:rsid w:val="753C4E9B"/>
    <w:rsid w:val="754E12AC"/>
    <w:rsid w:val="7570799D"/>
    <w:rsid w:val="75973F1C"/>
    <w:rsid w:val="759C3D2B"/>
    <w:rsid w:val="75BA0885"/>
    <w:rsid w:val="75E561D8"/>
    <w:rsid w:val="764F12E9"/>
    <w:rsid w:val="768F5B89"/>
    <w:rsid w:val="769B7804"/>
    <w:rsid w:val="76B15B00"/>
    <w:rsid w:val="76F263F7"/>
    <w:rsid w:val="77436940"/>
    <w:rsid w:val="77613082"/>
    <w:rsid w:val="779FCBF0"/>
    <w:rsid w:val="77F7E21B"/>
    <w:rsid w:val="781113A7"/>
    <w:rsid w:val="782303E7"/>
    <w:rsid w:val="784E0831"/>
    <w:rsid w:val="78D16192"/>
    <w:rsid w:val="791E6510"/>
    <w:rsid w:val="799314ED"/>
    <w:rsid w:val="79D51B05"/>
    <w:rsid w:val="79E2F975"/>
    <w:rsid w:val="79F532FD"/>
    <w:rsid w:val="79FF3026"/>
    <w:rsid w:val="7A146AD1"/>
    <w:rsid w:val="7A28257D"/>
    <w:rsid w:val="7A8F6158"/>
    <w:rsid w:val="7AF2228E"/>
    <w:rsid w:val="7B3BDBF2"/>
    <w:rsid w:val="7BD858DD"/>
    <w:rsid w:val="7C030BAC"/>
    <w:rsid w:val="7C2177D7"/>
    <w:rsid w:val="7C393B59"/>
    <w:rsid w:val="7C8D4A41"/>
    <w:rsid w:val="7D5E1424"/>
    <w:rsid w:val="7DA10339"/>
    <w:rsid w:val="7DD24CD9"/>
    <w:rsid w:val="7DEE7639"/>
    <w:rsid w:val="7E0E55E6"/>
    <w:rsid w:val="7E6A2B1A"/>
    <w:rsid w:val="7E6B28C4"/>
    <w:rsid w:val="7EBD7AF1"/>
    <w:rsid w:val="7EBDCBBF"/>
    <w:rsid w:val="7EC02D84"/>
    <w:rsid w:val="7EC74CC1"/>
    <w:rsid w:val="7ECA59B1"/>
    <w:rsid w:val="7EE6408F"/>
    <w:rsid w:val="7F2215D5"/>
    <w:rsid w:val="7F27031D"/>
    <w:rsid w:val="7F3EB32E"/>
    <w:rsid w:val="7F5F3F3B"/>
    <w:rsid w:val="7F5FE5E8"/>
    <w:rsid w:val="7F674E25"/>
    <w:rsid w:val="7F69341C"/>
    <w:rsid w:val="7F7C5BBA"/>
    <w:rsid w:val="7F7FC8C5"/>
    <w:rsid w:val="7F8918B0"/>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Body Text Indent"/>
    <w:basedOn w:val="1"/>
    <w:unhideWhenUsed/>
    <w:qFormat/>
    <w:uiPriority w:val="0"/>
    <w:pPr>
      <w:ind w:firstLine="640" w:firstLineChars="200"/>
    </w:pPr>
    <w:rPr>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4"/>
    <w:unhideWhenUsed/>
    <w:qFormat/>
    <w:uiPriority w:val="99"/>
    <w:pPr>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qFormat/>
    <w:uiPriority w:val="0"/>
    <w:rPr>
      <w:rFonts w:eastAsia="黑体"/>
    </w:rPr>
  </w:style>
  <w:style w:type="paragraph" w:customStyle="1" w:styleId="13">
    <w:name w:val="首行缩进"/>
    <w:basedOn w:val="1"/>
    <w:qFormat/>
    <w:uiPriority w:val="0"/>
    <w:pPr>
      <w:ind w:firstLine="480" w:firstLineChars="200"/>
    </w:pPr>
    <w:rPr>
      <w:lang w:val="zh-CN"/>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4033</Words>
  <Characters>4391</Characters>
  <Lines>31</Lines>
  <Paragraphs>8</Paragraphs>
  <TotalTime>1</TotalTime>
  <ScaleCrop>false</ScaleCrop>
  <LinksUpToDate>false</LinksUpToDate>
  <CharactersWithSpaces>4392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2026-06-26T15:05:00Z</dcterms:created>
  <dc:creator>1402836399</dc:creator>
  <cp:lastModifiedBy>毛毛妈</cp:lastModifiedBy>
  <cp:lastPrinted>2025-07-07T08:32:00Z</cp:lastPrinted>
  <dcterms:modified xsi:type="dcterms:W3CDTF">2026-07-17T08:34:21Z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E389D78A812F4A58A487E5628F497352_13</vt:lpwstr>
  </property>
  <property fmtid="{D5CDD505-2E9C-101B-9397-08002B2CF9AE}" pid="4" name="KSOTemplateDocerSaveRecord">
    <vt:lpwstr>eyJoZGlkIjoiOGQ1YjlhYWVlZGI5N2JlYzUzOWE1YTA0YjFlMzE0MWUiLCJ1c2VySWQiOiI2Mzc4MDIwOTAifQ==</vt:lpwstr>
  </property>
</Properties>
</file>