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方正小标宋_GBK"/>
          <w:kern w:val="0"/>
          <w:sz w:val="32"/>
          <w:szCs w:val="32"/>
        </w:rPr>
      </w:pPr>
      <w:bookmarkStart w:id="0" w:name="_GoBack"/>
      <w:bookmarkEnd w:id="0"/>
      <w:r>
        <w:rPr>
          <w:rFonts w:hint="eastAsia" w:ascii="黑体" w:hAnsi="黑体" w:eastAsia="黑体" w:cs="方正小标宋_GBK"/>
          <w:kern w:val="0"/>
          <w:sz w:val="32"/>
          <w:szCs w:val="32"/>
        </w:rPr>
        <w:t>附件1</w:t>
      </w:r>
    </w:p>
    <w:p>
      <w:pP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交易现场代理机构行为准则</w:t>
      </w:r>
    </w:p>
    <w:tbl>
      <w:tblPr>
        <w:tblStyle w:val="3"/>
        <w:tblW w:w="1431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497"/>
        <w:gridCol w:w="7935"/>
        <w:gridCol w:w="1014"/>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61" w:type="dxa"/>
            <w:shd w:val="clear" w:color="auto" w:fill="auto"/>
            <w:noWrap/>
            <w:vAlign w:val="center"/>
          </w:tcPr>
          <w:p>
            <w:pPr>
              <w:widowControl/>
              <w:jc w:val="center"/>
              <w:textAlignment w:val="center"/>
              <w:rPr>
                <w:rFonts w:ascii="宋体" w:hAnsi="宋体" w:cs="宋体"/>
                <w:b/>
                <w:sz w:val="22"/>
              </w:rPr>
            </w:pPr>
            <w:r>
              <w:rPr>
                <w:rFonts w:hint="eastAsia" w:ascii="宋体" w:hAnsi="宋体" w:cs="宋体"/>
                <w:b/>
                <w:kern w:val="0"/>
                <w:sz w:val="22"/>
                <w:lang w:bidi="ar"/>
              </w:rPr>
              <w:t>交易环节</w:t>
            </w:r>
          </w:p>
        </w:tc>
        <w:tc>
          <w:tcPr>
            <w:tcW w:w="1497" w:type="dxa"/>
            <w:shd w:val="clear" w:color="auto" w:fill="auto"/>
            <w:noWrap/>
            <w:vAlign w:val="center"/>
          </w:tcPr>
          <w:p>
            <w:pPr>
              <w:widowControl/>
              <w:jc w:val="center"/>
              <w:textAlignment w:val="center"/>
              <w:rPr>
                <w:rFonts w:ascii="宋体" w:hAnsi="宋体" w:cs="宋体"/>
                <w:b/>
                <w:sz w:val="22"/>
              </w:rPr>
            </w:pPr>
            <w:r>
              <w:rPr>
                <w:rFonts w:hint="eastAsia" w:ascii="宋体" w:hAnsi="宋体" w:cs="宋体"/>
                <w:b/>
                <w:kern w:val="0"/>
                <w:sz w:val="22"/>
                <w:lang w:bidi="ar"/>
              </w:rPr>
              <w:t>工作程序</w:t>
            </w:r>
          </w:p>
        </w:tc>
        <w:tc>
          <w:tcPr>
            <w:tcW w:w="7935" w:type="dxa"/>
            <w:shd w:val="clear" w:color="auto" w:fill="auto"/>
            <w:noWrap/>
            <w:vAlign w:val="center"/>
          </w:tcPr>
          <w:p>
            <w:pPr>
              <w:widowControl/>
              <w:jc w:val="center"/>
              <w:textAlignment w:val="center"/>
              <w:rPr>
                <w:rFonts w:ascii="宋体" w:hAnsi="宋体" w:cs="宋体"/>
                <w:b/>
                <w:sz w:val="22"/>
              </w:rPr>
            </w:pPr>
            <w:r>
              <w:rPr>
                <w:rFonts w:hint="eastAsia" w:ascii="宋体" w:hAnsi="宋体" w:cs="宋体"/>
                <w:b/>
                <w:kern w:val="0"/>
                <w:sz w:val="22"/>
                <w:lang w:bidi="ar"/>
              </w:rPr>
              <w:t>不规范行为具体内容</w:t>
            </w:r>
          </w:p>
        </w:tc>
        <w:tc>
          <w:tcPr>
            <w:tcW w:w="1014" w:type="dxa"/>
            <w:shd w:val="clear" w:color="auto" w:fill="auto"/>
            <w:noWrap/>
            <w:vAlign w:val="center"/>
          </w:tcPr>
          <w:p>
            <w:pPr>
              <w:widowControl/>
              <w:jc w:val="center"/>
              <w:textAlignment w:val="center"/>
              <w:rPr>
                <w:rFonts w:ascii="宋体" w:hAnsi="宋体" w:cs="宋体"/>
                <w:b/>
                <w:sz w:val="22"/>
              </w:rPr>
            </w:pPr>
            <w:r>
              <w:rPr>
                <w:rFonts w:hint="eastAsia" w:ascii="宋体" w:hAnsi="宋体" w:cs="宋体"/>
                <w:b/>
                <w:kern w:val="0"/>
                <w:sz w:val="22"/>
                <w:lang w:bidi="ar"/>
              </w:rPr>
              <w:t>扣分</w:t>
            </w:r>
          </w:p>
        </w:tc>
        <w:tc>
          <w:tcPr>
            <w:tcW w:w="2503" w:type="dxa"/>
            <w:shd w:val="clear" w:color="auto" w:fill="auto"/>
            <w:noWrap/>
            <w:vAlign w:val="center"/>
          </w:tcPr>
          <w:p>
            <w:pPr>
              <w:widowControl/>
              <w:jc w:val="center"/>
              <w:textAlignment w:val="center"/>
              <w:rPr>
                <w:rFonts w:ascii="宋体" w:hAnsi="宋体" w:cs="宋体"/>
                <w:b/>
                <w:sz w:val="22"/>
              </w:rPr>
            </w:pPr>
            <w:r>
              <w:rPr>
                <w:rFonts w:hint="eastAsia" w:ascii="宋体" w:hAnsi="宋体" w:cs="宋体"/>
                <w:b/>
                <w:kern w:val="0"/>
                <w:sz w:val="22"/>
                <w:lang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b/>
                <w:sz w:val="22"/>
              </w:rPr>
            </w:pPr>
            <w:r>
              <w:rPr>
                <w:rFonts w:hint="eastAsia" w:ascii="宋体" w:hAnsi="宋体" w:cs="宋体"/>
                <w:b/>
                <w:kern w:val="0"/>
                <w:sz w:val="22"/>
                <w:lang w:bidi="ar"/>
              </w:rPr>
              <w:t>代理合同环节</w:t>
            </w: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招标代理委托合同签订</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1.未与招标人签定招标代理委托合同</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《不规范行为具体情形》BG.1.1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b/>
                <w:sz w:val="22"/>
              </w:rPr>
            </w:pP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招标代理收费</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2.以明显不合理低价承揽业务的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《不规范行为具体情形》BG.1.2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b/>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招标代理项目组人员</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3.招标公告及招标文件中的招标代理项目组人员与招标代理委托合同中注明的人员不一致</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b/>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4.招标代理项目负责人变更不符合《监管办法》规定的，或者招标代理项目负责人变更，未经招标人同意</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b/>
                <w:sz w:val="22"/>
              </w:rPr>
            </w:pP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委托代理权限</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5.未经招标人同意，转让招标代理业务</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项目受理环节</w:t>
            </w: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资格预审文件、招标文件编制</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6.未完成相关行政主管部门项目审批、核准、备案等手续，或项目内容、招标方式变更未经相关行政主管部门批准，就进行招标文件备案或者进场交易预约</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7.应采用全流程电子化招标方式的交易项目，未经行政监督部门备案同意擅自采用线下交易方式（即纸质标方式）</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8.未规范使用标准文件，应勾选的未勾选、错误勾选、应填写的内容未填写、擅自修改标准文件不允许修改的内容等情形，按每出现一项错误扣分（同类错误仅扣一次）</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9.投标人资质设定不符合国家规定的资质标准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项目受理环节</w:t>
            </w:r>
          </w:p>
        </w:tc>
        <w:tc>
          <w:tcPr>
            <w:tcW w:w="1497"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资格预审文件、招标文件编制</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10.项目基本情况表述不明晰，影响资质、业绩、奖项等设置</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11.资格预审文件、招标文件就同一事项的规定或约定模糊不清或前后不一致，导致评标难以进行或者引发争议</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12.类似工程业绩设置不符合省行政监督部门的规定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13.招标文件未将否决条款集中载明</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14.招标文件中出现法律、法规、规章和规范性文件禁止条款，按每出现一项禁止条款扣分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15.政府投资项目委派业主评委未按照省和行业规定执行</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资格预审公告、招标公告内容及发布</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16.未载明招标人及其招标代理机构的名称、地址、联系人、联系方式，或者填写错误</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Times New Roman" w:hAnsi="Times New Roman"/>
                <w:szCs w:val="24"/>
                <w:lang w:val="en"/>
              </w:rPr>
            </w:pPr>
            <w:r>
              <w:rPr>
                <w:rFonts w:ascii="Times New Roman" w:hAnsi="Times New Roman"/>
                <w:szCs w:val="24"/>
                <w:lang w:val="en"/>
              </w:rPr>
              <w:t>《不规范行为具体情形》</w:t>
            </w:r>
            <w:r>
              <w:rPr>
                <w:rFonts w:hint="eastAsia" w:ascii="宋体" w:hAnsi="宋体" w:cs="宋体"/>
                <w:kern w:val="0"/>
                <w:sz w:val="22"/>
                <w:lang w:bidi="ar"/>
              </w:rPr>
              <w:t>BG.5.1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17.未载明招标项目的性质、数量、实施地点和时间以及获取文件的办法等事项，或者填写错误</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18.未载明潜在投标人访问电子招标投标交易平台的网址和方法，或者填写错误</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19.因招标代理机构原因未将数据电文形式的资格预审文件、招标文件加载至电子招标投标交易平台</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资格预审文件、招标文件的澄清、修改</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20.招标文件澄清、修改时增加或者删除否决性条款，未将修改后完整的否决性条款集中载明</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21.同一资格预审文件或者招标文件因代理机构原因澄清或修改次数超过2次</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招标项目技术标准、合同条款编制</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22.国家对招标项目的技术、标准有规定的，未按照其规定在招标文件中提出相应要求</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项目受理环节</w:t>
            </w: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23.招标文件规定的各项技术标准不符合国家强制性标准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24.招标文件引用失效的技术规范、标准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25.招标文件未载明拟签订合同的主要条款</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资格预审办法、评标办法编制</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26.资格预审文件未载明资格预审条件、标准和方法</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27.资格预审办法选取不符合省行政监督部门的规定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28.招标文件未明确规定所有评审因素，或者未将评审因素进行量化</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29.评标办法选取不符合省行政监督部门的规定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30.评标办法的具体指标选取不符合省行政监督部门的规定，按每出现一项错误扣分（同类错误仅扣一次）</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招标文件中投标有效期、投标保证金、履约保证金、最高投标限价等内容</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31.招标文件未载明投标有效期</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32.招标文件规定的投标有效期起算时间不符合招标投标法律法规规定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33.招标文件中载明的投标保证不符合《湖南省省本级公共资源交易保证金统一管理办法》的规定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34.招标文件中载明的投标保证金提交截止时间与投标文件提交截止时间不一致</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35.招标文件中载明的履约保证金不符合省行政监督部门的规定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项目受理环节</w:t>
            </w: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36.招标项目设有最高投标限价，但招标文件中未明确最高投标限价具体金额</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项目进场受理</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37.不按交易中心项目受理流程和标准办理项目进场受理的；或无正当理由拒绝接受交易中心项目受理相关意见的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38.场地未预约成功就发布招标公告的，或预约进场交易的时间与招标公告或招标文件（采购文件）发布的时间不一致的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39.项目已完成场地预约，因故延期或终止，未按交易中心程序退订交易场地，造成交易资源浪费的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40.代理的项目在质疑、投诉、举报处理期间，隐瞒相关情况，未提供质疑、投诉、举报处理结果，使得交易项目“带病入场”的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41.复评项目、项目终（中）止、延期评审等特殊项目不按交易中心规定的流程操作，导致交易延误或浪费交易资源的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开标环节</w:t>
            </w: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招标代理项目组人员</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42.参加开标评标环节的招标代理项目组人员与招标代理委托合同中注明的人员不一致</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43.项目负责人没有按要求到场组织开标评标、处理异议</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开标</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44.招标代理机构在投标截止时间前未做好开标准备工作，导致无法开标或者开标延误</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45.招标代理机构在交易平台上录入信息有误，导致无法开标或者开标延误</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46.招标代理机构不按规定程序、公告时间开标，擅自提前或延迟开标</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47.纸质标项目在投标截止时间后仍接受投标文件的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48.对投标人在开标现场提出的异议，未按规定作出答复或者未按规定制作记录</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开标环节</w:t>
            </w:r>
          </w:p>
        </w:tc>
        <w:tc>
          <w:tcPr>
            <w:tcW w:w="1497"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开标</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49.实行资格预审的项目，招标人在进行资格审查时，改变载明的资格条件或者以没有载明的资格条件对潜在投标人或者投标人进行资格审查，招标代理机构未发现</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50.因工作失误、投标资格认定错误（如投标保函核对等）导致投标人的投标被错误拒绝或接受</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51.未按规定完整记录开标情况并形成开标记录表、未及时将开标记录情况发送至评标委员会，影响评标</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52.开标结束后，未按交易中心有关规定将样品或纸质评审资料等送入评标区，影响评标</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开标现场服务</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53.开标现场，不服从交易中心工作人员管理、调度，或开标组织工作消极怠慢，允许或默许与该项目开标无关人员滞留开标室或开标席位的；或开标结束后，未及时退出开标室，超时占用资源的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54.不按交易中心现场管理规定佩穿标志马甲或工作牌等，经提醒后拒不配合的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专家抽取环节</w:t>
            </w: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专家抽取申请</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55.专家抽取申请信息填写不完整或有错误影响专家抽取工作正常进行，或者影响专家报酬支付</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56.未按交易中心相关规定和程序及时提交专家抽取申请，延误专家抽取时间的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专家抽取过程</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57.在交易中心专家抽取时，不按有关规定配合统一保管通信工具的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专家补抽</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58.不按有关规定及时开展专家补抽工作，或不熟悉专家库系统，导致补抽后专家数量不符合法律法规的；或未修改补抽专家集合时间，影响专家正常入区的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业主评委</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59.未按交易中心现场管理要求，及时组织录入招标人（采购人）评委信息，或信息录入有误，影响招标人（采购人）评委正常入区的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评标环节</w:t>
            </w: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评标</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60.按规定应当采取远程异地评标的项目，因招标代理机构原因未采用远程异地评标</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61.招标代理机构未向或未及时向评标委员会提供评标所需的重要信息和数据，或提供的重要信息和数据带有明示或者暗示倾向或者排斥特定投标人</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62.招标代理机构在交易平台上录入信息有误，导致无法正常评标</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63.招标代理机构对评标委员会提出的澄清问题回复错误，影响评标结果</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64.在交易中心现场，违规打探评标专家信息，或者违规与专家接触</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专家报酬支付</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65.不按规定标准和方式支付专家报酬，或者向专家以外人员支付劳务费</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门禁管理</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66.违反交易中心门禁管理有关要求，擅自冲闯门禁，或在门禁入口等相关区域蹲守、逗留，经提醒后拒不离开的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67.擅自进入专家等候区（休息区）、见证室、监督室等管控区域，经提醒后拒不离开的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专家餐预订</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68.未按交易中心规定的方式按时预订评标专家餐，造成专家不能正常就餐的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69.利用专家餐、样品或其他机会，向评标专家传递影响评标公正资料、信息的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项目复核</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70.评标过程中，不按照交易中心相关通知，延误澄清、复核等工作，或以不合理理由，拖延复核时间，拒不反馈复核意见的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71.项目复核时，不按电子交易系统设定的程序，超范围复核，或在复核过程中发表（或录入）有失公平意见，引导诱导、干扰专家独立评标判断，或反馈不合理复核意见等</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标后环节</w:t>
            </w: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资格预审结果通知</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72.资格预审结束后，因招标代理机构原因未及时向资格预审申请人发出资格预审结果通知书</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73.资格预审结束后，因招标代理机构原因未将资格预审结果告知不合格的潜在投标人</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74.资格预审结束后，因招标代理机构原因泄露通过资格预审申请人的名称和数量</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中标候选人和中标结果公示</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75.招标人收到评标报告之日起3日内，因招标代理机构原因未发布中标候选人公示</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Times New Roman" w:hAnsi="Times New Roman"/>
                <w:szCs w:val="24"/>
                <w:lang w:val="en"/>
              </w:rPr>
            </w:pPr>
            <w:r>
              <w:rPr>
                <w:rFonts w:ascii="Times New Roman" w:hAnsi="Times New Roman"/>
                <w:szCs w:val="24"/>
                <w:lang w:val="en"/>
              </w:rPr>
              <w:t>《不规范行为具体情形》</w:t>
            </w:r>
            <w:r>
              <w:rPr>
                <w:rFonts w:hint="eastAsia" w:ascii="宋体" w:hAnsi="宋体" w:cs="宋体"/>
                <w:kern w:val="0"/>
                <w:sz w:val="22"/>
                <w:lang w:bidi="ar"/>
              </w:rPr>
              <w:t>BG.15.1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76.未使用行政监督部门颁发的标准文件编制中标候选人公示</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77.在中标候选人公示期间，接受不符合异议程序的质疑，且以此为理由暂停公示</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中标通知书发放及招标情况备案</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78.提交的招标情况备案资料不符合行政监督部门规定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79.篡改招标情况备案资料</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80.中标人确定后，因招标代理机构原因未向中标人发出中标通知书</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保证金退还</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81.未及时申请发起保证金退还手续，或无故拖延保证金退还时间的，或项目存在异常情况时没有及时暂停保证金退还而导致退款</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标后稽查</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82.对行政监督部门标后稽查中查阅资料、调查有关情况的行为不积极配合</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83.标后稽查中未按要求及时提供资料及情况</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标后服务</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84.评标结束后，不按交易中心相关规定取走样品、纸质标等相关材料的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标后环节</w:t>
            </w:r>
          </w:p>
        </w:tc>
        <w:tc>
          <w:tcPr>
            <w:tcW w:w="1497" w:type="dxa"/>
            <w:vMerge w:val="restart"/>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标后服务</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85.纸质交易项目结束后，未按照规定及时、准确、完整填报项目交易信息，或归集项目资料的（包括评标报告、中标人投标文件电子版等）</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left"/>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86.利用代理项目工作便利，违规收集评标专家信息（含专家专业、联系方式等），私自加入或发起专家微信群、QQ群等，组建“小圈子”。</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left"/>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87.在代理项目过程中，发现招标人、投标人等有违法违规行为，故意隐瞒、不向行政监督部门或交易中心报告的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left"/>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88.不配合交易中心积极组织、协调、督促其代理项目相关市场主体交纳交易服务费，导致该项目交易服务费在催缴后30天内未交纳的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异议投诉处理环节</w:t>
            </w: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招标代理项目组人员</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89.处理异议或者协助投诉处理的招标代理项目组人员与招标代理委托合同中注明的人员不一致</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90.项目负责人没有按要求参与异议处理或者协助投诉处理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处理异议</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91.因招标代理机构原因对潜在投标人、投标人或者其他利害关系人依法递交的书面异议予以拒收</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92.因招标代理机构原因未依法对符合条件的异议作出回复</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协助投诉处理</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93.对行政监督部门处理投诉中查阅、复制有关文件、资料，调查有关情况的行为不积极配合</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94.未按要求及时提供资料及情况</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其他</w:t>
            </w:r>
          </w:p>
        </w:tc>
        <w:tc>
          <w:tcPr>
            <w:tcW w:w="1497"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其他违规行为</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95.存在违法违规情形，但因情节轻微，不予认定严重失信行为记录、不予行政处罚或不予认定不良行为记录的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招标代理项目组人员</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96.非本项目成员办理招标代理业务的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其他</w:t>
            </w: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其他现场行为</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97.在所代理的招标项目中，向该项目投标人提供帮助制作投标文件，或与相关市场主体有串通行为的（经行政监督部门处理的，不重复扣分）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98.故意损坏交易中心场所设施、设备的；或以技术手段攻击电子交易系统的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kern w:val="0"/>
                <w:sz w:val="22"/>
                <w:lang w:bidi="ar"/>
              </w:rPr>
            </w:pPr>
            <w:r>
              <w:rPr>
                <w:rFonts w:hint="eastAsia" w:ascii="宋体" w:hAnsi="宋体" w:cs="宋体"/>
                <w:kern w:val="0"/>
                <w:sz w:val="22"/>
                <w:lang w:bidi="ar"/>
              </w:rPr>
              <w:t>99.招标文件、资格预审文件等被交易中心大数据分析系统提示“量体裁衣”、“设置倾向性条款”等风险预警，报经相关行政监督部门确认的（经行政监督部门处理的，不重复扣分）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100.以任何方式贿赂交易中心相关工作人员（含技术支持、服务人员等），谋取相关违规操作便利或其他利益的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101.在交易现场无理取闹，威胁、恐吓招标人、投标人、监管人员、交易中心等相关工作人员的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102.在代理项目过程中未尽到保密义务，泄露国家秘密、商业秘密及其他应该保密信息的（经行政监督部门处理的，不重复扣分）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103.不协助、不支持配合交易中心处置现场突发情况的；如所代理项目在评审期间专家突发疾病紧急送医，现场处置火情、疫情等</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104.其他不按照全省公共资源交易“六统一”相关业务导则和交易中心相关现场管理程序和标准操作业务的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bl>
    <w:p>
      <w:pPr>
        <w:widowControl/>
        <w:autoSpaceDE w:val="0"/>
        <w:autoSpaceDN w:val="0"/>
        <w:spacing w:before="62" w:beforeLines="20" w:line="440" w:lineRule="exact"/>
        <w:rPr>
          <w:rFonts w:hAnsi="宋体" w:cs="宋体"/>
          <w:b/>
          <w:bCs/>
          <w:kern w:val="0"/>
          <w:sz w:val="24"/>
          <w:szCs w:val="24"/>
          <w:lang w:bidi="ar"/>
        </w:rPr>
      </w:pPr>
      <w:r>
        <w:rPr>
          <w:rFonts w:hint="eastAsia" w:hAnsi="宋体" w:cs="宋体"/>
          <w:b/>
          <w:bCs/>
          <w:kern w:val="0"/>
          <w:sz w:val="24"/>
          <w:szCs w:val="24"/>
          <w:lang w:bidi="ar"/>
        </w:rPr>
        <w:t>说明：</w:t>
      </w:r>
      <w:r>
        <w:rPr>
          <w:rFonts w:hint="eastAsia" w:hAnsi="宋体" w:cs="宋体"/>
          <w:kern w:val="0"/>
          <w:sz w:val="24"/>
          <w:szCs w:val="24"/>
          <w:lang w:bidi="ar"/>
        </w:rPr>
        <w:t>《不规范行为具体情形》为《湖南省招标代理机构及从业人员监督管理办法》（湘发改法规规</w:t>
      </w:r>
      <w:r>
        <w:rPr>
          <w:rFonts w:hint="eastAsia" w:ascii="宋体" w:hAnsi="宋体" w:cs="宋体"/>
          <w:bCs/>
          <w:kern w:val="0"/>
          <w:sz w:val="24"/>
          <w:szCs w:val="24"/>
          <w:lang w:val="en" w:bidi="ar"/>
        </w:rPr>
        <w:t>〔2023〕</w:t>
      </w:r>
      <w:r>
        <w:rPr>
          <w:rFonts w:hint="eastAsia" w:ascii="宋体" w:hAnsi="宋体" w:cs="宋体"/>
          <w:bCs/>
          <w:kern w:val="0"/>
          <w:sz w:val="24"/>
          <w:szCs w:val="24"/>
          <w:lang w:bidi="ar"/>
        </w:rPr>
        <w:t>99号）附件2</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NTExNmUyZTUwMmUxN2E2MWQ3ODZlNWU5MmY5MjkifQ=="/>
  </w:docVars>
  <w:rsids>
    <w:rsidRoot w:val="725E0246"/>
    <w:rsid w:val="04E6526B"/>
    <w:rsid w:val="630D4511"/>
    <w:rsid w:val="725E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2024-09-12T08:09:00Z</dcterms:created>
  <dc:creator>水煮鱼</dc:creator>
  <cp:lastModifiedBy>一生兄弟不孤单</cp:lastModifiedBy>
  <dcterms:modified xsi:type="dcterms:W3CDTF">2024-11-05T07:58:33Z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6A79D18725F144CFBA7E5A95735EA8F3_13</vt:lpwstr>
  </property>
</Properties>
</file>