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征求</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《怀化市公共资源交易平台信用信息记录评价办法</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（征求意见稿）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黑体" w:hAnsi="黑体" w:eastAsia="黑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意见建议</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r>
        <w:rPr>
          <w:rFonts w:hint="eastAsia" w:ascii="仿宋_GB2312" w:hAnsi="仿宋_GB2312" w:eastAsia="仿宋_GB2312" w:cs="仿宋_GB2312"/>
          <w:color w:val="000000" w:themeColor="text1"/>
          <w:sz w:val="32"/>
          <w:szCs w:val="32"/>
          <w14:textFill>
            <w14:solidFill>
              <w14:schemeClr w14:val="tx1"/>
            </w14:solidFill>
          </w14:textFill>
        </w:rPr>
        <w:t>各交易主体，有关单位：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为加强公共资源交易信用体系建设，推动信用评价在公共资源交易领域的应用，根据《湖南省公共资源交易平台管理办法》《湖南省公共资源交易信用管理办法》等有关规定，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我中心起草</w:t>
      </w:r>
      <w:r>
        <w:rPr>
          <w:rFonts w:hint="eastAsia" w:ascii="仿宋_GB2312" w:hAnsi="仿宋_GB2312" w:eastAsia="仿宋_GB2312" w:cs="仿宋_GB2312"/>
          <w:color w:val="000000" w:themeColor="text1"/>
          <w:sz w:val="32"/>
          <w:szCs w:val="32"/>
          <w14:textFill>
            <w14:solidFill>
              <w14:schemeClr w14:val="tx1"/>
            </w14:solidFill>
          </w14:textFill>
        </w:rPr>
        <w:t>了《怀化市公共资源交易平台信用记录评价办法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征求意见稿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，请</w:t>
      </w:r>
      <w:r>
        <w:rPr>
          <w:rFonts w:hint="eastAsia" w:ascii="仿宋_GB2312" w:hAnsi="仿宋_GB2312" w:eastAsia="仿宋_GB2312" w:cs="仿宋_GB2312"/>
          <w:color w:val="000000" w:themeColor="text1"/>
          <w:sz w:val="32"/>
          <w:szCs w:val="32"/>
          <w14:textFill>
            <w14:solidFill>
              <w14:schemeClr w14:val="tx1"/>
            </w14:solidFill>
          </w14:textFill>
        </w:rPr>
        <w:t>各交易主体</w:t>
      </w:r>
      <w:r>
        <w:rPr>
          <w:rFonts w:hint="eastAsia" w:ascii="仿宋_GB2312" w:hAnsi="仿宋_GB2312" w:eastAsia="仿宋_GB2312" w:cs="仿宋_GB2312"/>
          <w:color w:val="000000" w:themeColor="text1"/>
          <w:sz w:val="32"/>
          <w:szCs w:val="32"/>
          <w:lang w:eastAsia="zh-CN"/>
          <w14:textFill>
            <w14:solidFill>
              <w14:schemeClr w14:val="tx1"/>
            </w14:solidFill>
          </w14:textFill>
        </w:rPr>
        <w:t>、相</w:t>
      </w:r>
      <w:r>
        <w:rPr>
          <w:rFonts w:hint="eastAsia" w:ascii="仿宋_GB2312" w:hAnsi="仿宋_GB2312" w:eastAsia="仿宋_GB2312" w:cs="仿宋_GB2312"/>
          <w:color w:val="000000" w:themeColor="text1"/>
          <w:sz w:val="32"/>
          <w:szCs w:val="32"/>
          <w14:textFill>
            <w14:solidFill>
              <w14:schemeClr w14:val="tx1"/>
            </w14:solidFill>
          </w14:textFill>
        </w:rPr>
        <w:t>关单位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认真研究提出意见建议，加盖公章后，于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2024年5月24日前反馈至我中心监督部,逾期未反馈视为无意见</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联系人：潘昌晟，电话：13974565397</w:t>
      </w:r>
    </w:p>
    <w:p>
      <w:pPr>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电子邮箱：958739326@qq.com</w:t>
      </w:r>
    </w:p>
    <w:p>
      <w:pPr>
        <w:pStyle w:val="2"/>
        <w:ind w:firstLine="640"/>
        <w:rPr>
          <w:rFonts w:hint="eastAsia"/>
          <w:lang w:val="en-US" w:eastAsia="zh-CN"/>
        </w:rPr>
      </w:pPr>
    </w:p>
    <w:p>
      <w:pPr>
        <w:pStyle w:val="2"/>
        <w:ind w:firstLine="640"/>
        <w:jc w:val="right"/>
        <w:rPr>
          <w:rFonts w:hint="eastAsia" w:ascii="仿宋_GB2312" w:hAnsi="仿宋_GB2312" w:eastAsia="仿宋_GB2312" w:cs="仿宋_GB2312"/>
          <w:sz w:val="32"/>
          <w:szCs w:val="32"/>
          <w:lang w:val="en-US" w:eastAsia="zh-CN"/>
        </w:rPr>
      </w:pPr>
    </w:p>
    <w:p>
      <w:pPr>
        <w:pStyle w:val="2"/>
        <w:ind w:firstLine="64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怀化市公共资源交易中心</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2024年5月15日</w:t>
      </w:r>
    </w:p>
    <w:p>
      <w:pPr>
        <w:pStyle w:val="2"/>
        <w:ind w:left="0" w:leftChars="0" w:firstLine="0" w:firstLineChars="0"/>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怀化市公共资源交易平台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信用信息记录评价办法</w:t>
      </w:r>
    </w:p>
    <w:p>
      <w:pPr>
        <w:pStyle w:val="2"/>
        <w:ind w:left="0" w:leftChars="0"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（征求意见稿）</w:t>
      </w:r>
    </w:p>
    <w:p>
      <w:pPr>
        <w:spacing w:beforeLines="100" w:afterLines="100"/>
        <w:jc w:val="center"/>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14:textFill>
            <w14:solidFill>
              <w14:schemeClr w14:val="tx1"/>
            </w14:solidFill>
          </w14:textFill>
        </w:rPr>
        <w:t xml:space="preserve"> 为加强公共资源交易信用体系建设，推动信用评价在公共资源交易领域的应用，保证公共资源交易活动公开、公平、公正，根据《湖南省公共资源交易平台管理办法》《湖南省公共资源交易信用管理办法》等规定及省市优化营商环境工作要求，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本办法适用于进入怀化市公共资源交易中心(以下简称“市交易中心”)，参与公共资源交易活动的当事人信用信息的记录、评价、归集、公开、共享和应用。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本办法所称公共资源交易活动当事人 (以下简称“交易主体”)，包括参与公共资源交易活动的招标人、采购人、委托人、出让 (转让) 人等项目发起方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招标代理机构、采购代理机构、拍卖机构等中介服务机构;投标人、供应商、竞买人、受让人等项目响应方。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第四条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本办法所称信用信息是指交易主体在公共资源交易活动过程中形成，能够反映相关组织或个人信用状况的信息。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公共资源交易信用信息记录评价遵循公开透明、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公平公正、合法客观、互认共享的原则，确保信用信息客观、真实、及时、准确。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交易主体在公共资源交易活动中应当遵守相关的法律法规和规章制度，遵守公共资源交易规则、规程和规范，遵守职业道德，诚实守信，规范交易。</w:t>
      </w:r>
    </w:p>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信用信息库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14:textFill>
            <w14:solidFill>
              <w14:schemeClr w14:val="tx1"/>
            </w14:solidFill>
          </w14:textFill>
        </w:rPr>
        <w:t xml:space="preserve"> 交易主体在首次注册交易时，进入公共资源交易电子服务系统进行免费注册，按要求完整规范填写用户信息及相关信用信息，交易主体应对填报信息的真实性、准确性负责。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14:textFill>
            <w14:solidFill>
              <w14:schemeClr w14:val="tx1"/>
            </w14:solidFill>
          </w14:textFill>
        </w:rPr>
        <w:t xml:space="preserve"> 市交易中心依据全国统一的社会信用代码和公共资源交易平台系统数据规范，按规定实现与上级、本级公共信用信息平台的互联互通和信息共享。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14:textFill>
            <w14:solidFill>
              <w14:schemeClr w14:val="tx1"/>
            </w14:solidFill>
          </w14:textFill>
        </w:rPr>
        <w:t xml:space="preserve"> 市交易中心按照规定建立公共资源交易信用档案，记录公共资源交易平台不良行为信息，整理、保存交易过程中的相关资料，为公共资源交易信用管理提供支持。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第九条</w:t>
      </w:r>
      <w:r>
        <w:rPr>
          <w:rFonts w:hint="eastAsia" w:ascii="仿宋_GB2312" w:hAnsi="仿宋_GB2312" w:eastAsia="仿宋_GB2312" w:cs="仿宋_GB2312"/>
          <w:color w:val="000000" w:themeColor="text1"/>
          <w:sz w:val="32"/>
          <w:szCs w:val="32"/>
          <w14:textFill>
            <w14:solidFill>
              <w14:schemeClr w14:val="tx1"/>
            </w14:solidFill>
          </w14:textFill>
        </w:rPr>
        <w:t xml:space="preserve"> 信用信息记录评价实行统一平台、动态更新、信息共享。市交易中心应当主动监测交易主体的不良行为线索，妥善保留证据材料，并依托公共资源交易电子服务系统，及时发布各类信用信息。</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第三章  </w:t>
      </w:r>
      <w:r>
        <w:rPr>
          <w:rFonts w:ascii="黑体" w:hAnsi="黑体" w:eastAsia="黑体"/>
          <w:color w:val="000000" w:themeColor="text1"/>
          <w:sz w:val="32"/>
          <w:szCs w:val="32"/>
          <w14:textFill>
            <w14:solidFill>
              <w14:schemeClr w14:val="tx1"/>
            </w14:solidFill>
          </w14:textFill>
        </w:rPr>
        <w:t>信用归集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公共资源交易平台信用信息由基本信息、不良行为信息、业绩信息和承诺信息构成。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基本信息是指可识别、分析和判断交易主体基本情况的信息。主要包括: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(一)自然人在公安部门登记的个人身份识别信息、职业信息，法人和其他组织在登记机关登记的注册信息、统一社会信用代码等;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自然人、法人和其他组织获得的资质、资格等行政许可信息、行政备案信息及其他非负面的行政决定信息;交易主体在电子交易平台注册的用户信息，包括单位名称营业地址、法人代表、联系方式、从业人员组成等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不良行为信息是指交易主体进入交易平台从事公共资源交易活动中违反法律法规规章，违背诚实信用、公平竞争原则、强制性标准或执业行为规范，违反公共资源交易规则、规程、规范以及交易平台各项管理制度的信息(详见信用信息记录评价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业绩信息是指交易主体 (本办法仅适用于招标代理机构、采购代理机构、拍卖机构等中介服务机构) 在记录评价期内完成的公共资源交易项目数量。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承诺信息是指自然人、法人和其他组织在参与公共资源交易活动中以规范格式按规定向社会公开承诺的信用信息。交易主体在参与公共资源交易活动前，应当以规范格式按规定向社会作出公开承诺，并纳入当事人信用记录。承诺信息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(一)所提交的材料真实、合法、有效;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(二)守法诚信、公平竞争;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 履行合同;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 未兑现承诺自愿接受的惩戒措施;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 法律法规规定的其他事项和交易主体认为需要承诺的其他事项。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市交易中心根据相关法律法规规定，收集和整理有关行业领域监管要求、信用行为描述，结合交易工作实际制定记录评价标准，包括行为类型、行为描述、计分规则等内容，通过交易平台网站公开发布，并结合政策变化和实际应用情况及时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第十六条</w:t>
      </w:r>
      <w:r>
        <w:rPr>
          <w:rFonts w:hint="eastAsia" w:ascii="仿宋_GB2312" w:hAnsi="仿宋_GB2312" w:eastAsia="仿宋_GB2312" w:cs="仿宋_GB2312"/>
          <w:color w:val="000000" w:themeColor="text1"/>
          <w:sz w:val="32"/>
          <w:szCs w:val="32"/>
          <w14:textFill>
            <w14:solidFill>
              <w14:schemeClr w14:val="tx1"/>
            </w14:solidFill>
          </w14:textFill>
        </w:rPr>
        <w:t xml:space="preserve"> 市交易中心按照项目进入市级平台的主体行为记录情况进行评价计分，</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强化信用评价结果联动应用。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评价计分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评价周期。进入公共资源交易平台的交易主体应自觉接受交易中心的记录评价，记录评价采用动态计分制，每 12个月为一个计分周期，起始时间为每年的1月1日至12月31日;跨年度的项目以完成档案归集时间为准。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第十八条</w:t>
      </w:r>
      <w:r>
        <w:rPr>
          <w:rFonts w:hint="eastAsia" w:ascii="仿宋_GB2312" w:hAnsi="仿宋_GB2312" w:eastAsia="仿宋_GB2312" w:cs="仿宋_GB2312"/>
          <w:color w:val="000000" w:themeColor="text1"/>
          <w:sz w:val="32"/>
          <w:szCs w:val="32"/>
          <w14:textFill>
            <w14:solidFill>
              <w14:schemeClr w14:val="tx1"/>
            </w14:solidFill>
          </w14:textFill>
        </w:rPr>
        <w:t xml:space="preserve"> 记录程序。对发现的交易主体不良行为信息记录人按照职责分工进行记录，保留相关证据，并填写《交易主体不良行为信息记录单》，经部室负责人签字复核后存档备查。交易主体不良行为信息、评价计分通过信用信息平台实时记录、实时汇总，实现信用信息交互共享和动态更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第十九条</w:t>
      </w:r>
      <w:r>
        <w:rPr>
          <w:rFonts w:hint="eastAsia" w:ascii="仿宋_GB2312" w:hAnsi="仿宋_GB2312" w:eastAsia="仿宋_GB2312" w:cs="仿宋_GB2312"/>
          <w:color w:val="000000" w:themeColor="text1"/>
          <w:sz w:val="32"/>
          <w:szCs w:val="32"/>
          <w14:textFill>
            <w14:solidFill>
              <w14:schemeClr w14:val="tx1"/>
            </w14:solidFill>
          </w14:textFill>
        </w:rPr>
        <w:t xml:space="preserve"> 评价环节。交易主体进入公共资源交易平台开展业务，在用户注册、项目登记、场地预约、公告发布、招标文件编制、答疑澄清、投标保证金、投标、开标、远程解密、评标评审、公示发布、异议(质疑)处理、交易见(鉴)证、合同签订 (变更)、档案归集等业务环节中，因自身原因出现的违规行为或不良信息。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第二十条</w:t>
      </w:r>
      <w:r>
        <w:rPr>
          <w:rFonts w:hint="eastAsia" w:ascii="仿宋_GB2312" w:hAnsi="仿宋_GB2312" w:eastAsia="仿宋_GB2312" w:cs="仿宋_GB2312"/>
          <w:color w:val="000000" w:themeColor="text1"/>
          <w:sz w:val="32"/>
          <w:szCs w:val="32"/>
          <w14:textFill>
            <w14:solidFill>
              <w14:schemeClr w14:val="tx1"/>
            </w14:solidFill>
          </w14:textFill>
        </w:rPr>
        <w:t xml:space="preserve"> 评价计分。按照发布的交易主体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信用信息记录评价标准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进行计分</w:t>
      </w:r>
      <w:r>
        <w:rPr>
          <w:rFonts w:hint="eastAsia" w:ascii="仿宋_GB2312" w:hAnsi="仿宋_GB2312" w:eastAsia="仿宋_GB2312" w:cs="仿宋_GB2312"/>
          <w:color w:val="000000" w:themeColor="text1"/>
          <w:sz w:val="32"/>
          <w:szCs w:val="32"/>
          <w:lang w:eastAsia="zh-CN"/>
          <w14:textFill>
            <w14:solidFill>
              <w14:schemeClr w14:val="tx1"/>
            </w14:solidFill>
          </w14:textFill>
        </w:rPr>
        <w:t>（见附件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，交易主体填报的基本信息规范、完整、真实有效的，得基本分 100 分;记录评价总得分=基本分(100 分)+业绩信息加分+不良行为信息扣分。</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结果应用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记录评价得分排名作为优先办理、简化程序、场地优选、评先树优等方面的重要依据。招标 (采购)人在选择中介服务机构或确定中标人时，鼓励将交易主体评价得分作为重要参考依据，同等条件下优先选择评价得分较高的机构或企业。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评价结果应用坚持客观公正、实事求是原则，全程公开透明，对不良行为信息扣分、良好行为信息加分每 3个月定期通报，交易主体评价得分在交易</w:t>
      </w:r>
      <w:r>
        <w:rPr>
          <w:rFonts w:hint="eastAsia" w:ascii="仿宋_GB2312" w:hAnsi="仿宋_GB2312" w:eastAsia="仿宋_GB2312" w:cs="仿宋_GB2312"/>
          <w:color w:val="000000" w:themeColor="text1"/>
          <w:sz w:val="32"/>
          <w:szCs w:val="32"/>
          <w:lang w:eastAsia="zh-CN"/>
          <w14:textFill>
            <w14:solidFill>
              <w14:schemeClr w14:val="tx1"/>
            </w14:solidFill>
          </w14:textFill>
        </w:rPr>
        <w:t>中心</w:t>
      </w:r>
      <w:r>
        <w:rPr>
          <w:rFonts w:hint="eastAsia" w:ascii="仿宋_GB2312" w:hAnsi="仿宋_GB2312" w:eastAsia="仿宋_GB2312" w:cs="仿宋_GB2312"/>
          <w:color w:val="000000" w:themeColor="text1"/>
          <w:sz w:val="32"/>
          <w:szCs w:val="32"/>
          <w14:textFill>
            <w14:solidFill>
              <w14:schemeClr w14:val="tx1"/>
            </w14:solidFill>
          </w14:textFill>
        </w:rPr>
        <w:t>平台网站向社会实时公布。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交易主体记录评价得分在 80 分以下的，须接受交易中心预警提示、工作约谈，并进行自主整改;评价得分在 60 分以下的，对交易主体或负有重大责任的从业人员，不予受理其 3—6 个月进场交易业务。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评价管理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市交易中心对信用评价</w:t>
      </w:r>
      <w:r>
        <w:rPr>
          <w:rFonts w:hint="eastAsia" w:ascii="仿宋_GB2312" w:hAnsi="仿宋_GB2312" w:eastAsia="仿宋_GB2312" w:cs="仿宋_GB2312"/>
          <w:color w:val="000000" w:themeColor="text1"/>
          <w:sz w:val="32"/>
          <w:szCs w:val="32"/>
          <w:lang w:eastAsia="zh-CN"/>
          <w14:textFill>
            <w14:solidFill>
              <w14:schemeClr w14:val="tx1"/>
            </w14:solidFill>
          </w14:textFill>
        </w:rPr>
        <w:t>结果</w:t>
      </w:r>
      <w:r>
        <w:rPr>
          <w:rFonts w:hint="eastAsia" w:ascii="仿宋_GB2312" w:hAnsi="仿宋_GB2312" w:eastAsia="仿宋_GB2312" w:cs="仿宋_GB2312"/>
          <w:color w:val="000000" w:themeColor="text1"/>
          <w:sz w:val="32"/>
          <w:szCs w:val="32"/>
          <w14:textFill>
            <w14:solidFill>
              <w14:schemeClr w14:val="tx1"/>
            </w14:solidFill>
          </w14:textFill>
        </w:rPr>
        <w:t>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，及时归集交易主体信用评价信息，发布重大不良行为信息通报，定期公开评价结果;对违规交易主体或从业人员进行工作预警、约谈提示及采取限制进场措施。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第二十五条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交易</w:t>
      </w:r>
      <w:r>
        <w:rPr>
          <w:rFonts w:hint="eastAsia" w:ascii="仿宋_GB2312" w:hAnsi="仿宋_GB2312" w:eastAsia="仿宋_GB2312" w:cs="仿宋_GB2312"/>
          <w:color w:val="000000" w:themeColor="text1"/>
          <w:sz w:val="32"/>
          <w:szCs w:val="32"/>
          <w14:textFill>
            <w14:solidFill>
              <w14:schemeClr w14:val="tx1"/>
            </w14:solidFill>
          </w14:textFill>
        </w:rPr>
        <w:t>中心各部室结合职责分工，对发现的不良行为信息和违法违规行为认真记录，相关工作人员有下列情形之一的，依照有关规定给予批评教育、处分，情节严重的，移交相关部门处理。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(一)未按照规定时间、程序或标准记录计分，应当记录计分而不予记录计分或者超出范围予以计分、计分错误的;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(二)不在规定的系统、网站发布或擅自采集、记录发布，泄露、使用记录评价信息的;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(三)错报、漏报信用信息，给交易主体造成名誉或者经济损失的;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(四)歪曲、篡改有关信用信息的;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(五)利用信用信息进行商业活动的;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(六)其他法律、行政法规另有规定的。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xml:space="preserve">第二十六条 </w:t>
      </w:r>
      <w:r>
        <w:rPr>
          <w:rFonts w:hint="eastAsia" w:ascii="仿宋_GB2312" w:hAnsi="仿宋_GB2312" w:eastAsia="仿宋_GB2312" w:cs="仿宋_GB2312"/>
          <w:color w:val="000000" w:themeColor="text1"/>
          <w:sz w:val="32"/>
          <w:szCs w:val="32"/>
          <w14:textFill>
            <w14:solidFill>
              <w14:schemeClr w14:val="tx1"/>
            </w14:solidFill>
          </w14:textFill>
        </w:rPr>
        <w:t>评标评审专家的信用信息记录评价执行省发改委、省财政厅有关规定，不适用于本办法。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第二十七条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本办法由怀化市公共资源交易中心负责解释。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（附件1.2.3附后）</w:t>
      </w: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ind w:firstLine="640" w:firstLineChars="200"/>
        <w:rPr>
          <w:rFonts w:ascii="仿宋" w:hAnsi="仿宋" w:eastAsia="仿宋"/>
          <w:color w:val="000000" w:themeColor="text1"/>
          <w:sz w:val="32"/>
          <w:szCs w:val="32"/>
          <w14:textFill>
            <w14:solidFill>
              <w14:schemeClr w14:val="tx1"/>
            </w14:solidFill>
          </w14:textFill>
        </w:rPr>
      </w:pPr>
    </w:p>
    <w:p>
      <w:pPr>
        <w:spacing w:beforeLines="100" w:afterLines="100"/>
        <w:ind w:firstLine="880" w:firstLineChars="200"/>
        <w:jc w:val="center"/>
        <w:rPr>
          <w:rFonts w:hint="eastAsia" w:ascii="黑体" w:hAnsi="黑体" w:eastAsia="黑体"/>
          <w:color w:val="000000" w:themeColor="text1"/>
          <w:sz w:val="44"/>
          <w:szCs w:val="44"/>
          <w14:textFill>
            <w14:solidFill>
              <w14:schemeClr w14:val="tx1"/>
            </w14:solidFill>
          </w14:textFill>
        </w:rPr>
      </w:pPr>
    </w:p>
    <w:p>
      <w:pPr>
        <w:spacing w:beforeLines="100" w:afterLines="100"/>
        <w:jc w:val="both"/>
        <w:rPr>
          <w:rFonts w:hint="eastAsia" w:ascii="黑体" w:hAnsi="黑体" w:eastAsia="黑体"/>
          <w:color w:val="000000" w:themeColor="text1"/>
          <w:sz w:val="44"/>
          <w:szCs w:val="44"/>
          <w14:textFill>
            <w14:solidFill>
              <w14:schemeClr w14:val="tx1"/>
            </w14:solidFill>
          </w14:textFill>
        </w:rPr>
      </w:pPr>
    </w:p>
    <w:p>
      <w:pPr>
        <w:spacing w:beforeLines="100" w:afterLines="100"/>
        <w:jc w:val="both"/>
        <w:rPr>
          <w:rFonts w:hint="eastAsia" w:ascii="仿宋" w:hAnsi="仿宋" w:eastAsia="仿宋" w:cs="仿宋"/>
          <w:color w:val="000000" w:themeColor="text1"/>
          <w:sz w:val="32"/>
          <w:szCs w:val="32"/>
          <w:lang w:eastAsia="zh-CN"/>
          <w14:textFill>
            <w14:solidFill>
              <w14:schemeClr w14:val="tx1"/>
            </w14:solidFill>
          </w14:textFill>
        </w:rPr>
      </w:pPr>
    </w:p>
    <w:p>
      <w:pPr>
        <w:spacing w:beforeLines="100" w:afterLines="100"/>
        <w:ind w:firstLine="880" w:firstLineChars="200"/>
        <w:jc w:val="center"/>
        <w:rPr>
          <w:rFonts w:hint="eastAsia" w:ascii="黑体" w:hAnsi="黑体" w:eastAsia="黑体"/>
          <w:color w:val="000000" w:themeColor="text1"/>
          <w:sz w:val="44"/>
          <w:szCs w:val="44"/>
          <w14:textFill>
            <w14:solidFill>
              <w14:schemeClr w14:val="tx1"/>
            </w14:solidFill>
          </w14:textFill>
        </w:rPr>
      </w:pPr>
    </w:p>
    <w:p>
      <w:pPr>
        <w:spacing w:beforeLines="100" w:afterLines="100"/>
        <w:ind w:firstLine="880" w:firstLineChars="200"/>
        <w:jc w:val="center"/>
        <w:rPr>
          <w:rFonts w:hint="eastAsia" w:ascii="黑体" w:hAnsi="黑体" w:eastAsia="黑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100" w:afterLines="100" w:line="600" w:lineRule="exact"/>
        <w:ind w:firstLine="880" w:firstLineChars="20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交易主体不良行为信息记录单</w:t>
      </w:r>
    </w:p>
    <w:tbl>
      <w:tblPr>
        <w:tblStyle w:val="6"/>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2231"/>
        <w:gridCol w:w="1440"/>
        <w:gridCol w:w="1561"/>
        <w:gridCol w:w="144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8" w:type="dxa"/>
          </w:tcPr>
          <w:p>
            <w:pPr>
              <w:spacing w:beforeLines="100" w:afterLine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交易主体</w:t>
            </w:r>
          </w:p>
        </w:tc>
        <w:tc>
          <w:tcPr>
            <w:tcW w:w="8286" w:type="dxa"/>
            <w:gridSpan w:val="5"/>
          </w:tcPr>
          <w:p>
            <w:pPr>
              <w:spacing w:beforeLines="100" w:afterLines="100"/>
              <w:rPr>
                <w:rFonts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58" w:type="dxa"/>
          </w:tcPr>
          <w:p>
            <w:pPr>
              <w:spacing w:beforeLines="100" w:afterLine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项目名称</w:t>
            </w:r>
          </w:p>
        </w:tc>
        <w:tc>
          <w:tcPr>
            <w:tcW w:w="8286" w:type="dxa"/>
            <w:gridSpan w:val="5"/>
          </w:tcPr>
          <w:p>
            <w:pPr>
              <w:spacing w:beforeLines="100" w:afterLines="100"/>
              <w:rPr>
                <w:rFonts w:ascii="仿宋" w:hAnsi="仿宋" w:eastAsia="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858" w:type="dxa"/>
          </w:tcPr>
          <w:p>
            <w:pPr>
              <w:spacing w:beforeLines="100" w:afterLine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序    号</w:t>
            </w:r>
          </w:p>
        </w:tc>
        <w:tc>
          <w:tcPr>
            <w:tcW w:w="2231" w:type="dxa"/>
          </w:tcPr>
          <w:p>
            <w:pPr>
              <w:spacing w:beforeLines="100" w:afterLine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不良行为</w:t>
            </w:r>
            <w:r>
              <w:rPr>
                <w:rFonts w:ascii="仿宋" w:hAnsi="仿宋" w:eastAsia="仿宋"/>
                <w:color w:val="000000" w:themeColor="text1"/>
                <w:sz w:val="32"/>
                <w:szCs w:val="32"/>
                <w14:textFill>
                  <w14:solidFill>
                    <w14:schemeClr w14:val="tx1"/>
                  </w14:solidFill>
                </w14:textFill>
              </w:rPr>
              <w:t>描述</w:t>
            </w:r>
          </w:p>
        </w:tc>
        <w:tc>
          <w:tcPr>
            <w:tcW w:w="1440" w:type="dxa"/>
          </w:tcPr>
          <w:p>
            <w:pPr>
              <w:spacing w:beforeLines="100" w:afterLines="1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发生环节</w:t>
            </w:r>
          </w:p>
        </w:tc>
        <w:tc>
          <w:tcPr>
            <w:tcW w:w="1561" w:type="dxa"/>
          </w:tcPr>
          <w:p>
            <w:pPr>
              <w:spacing w:beforeLines="100" w:afterLine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发生</w:t>
            </w:r>
            <w:r>
              <w:rPr>
                <w:rFonts w:ascii="仿宋" w:hAnsi="仿宋" w:eastAsia="仿宋"/>
                <w:color w:val="000000" w:themeColor="text1"/>
                <w:sz w:val="32"/>
                <w:szCs w:val="32"/>
                <w14:textFill>
                  <w14:solidFill>
                    <w14:schemeClr w14:val="tx1"/>
                  </w14:solidFill>
                </w14:textFill>
              </w:rPr>
              <w:t>时间</w:t>
            </w:r>
          </w:p>
        </w:tc>
        <w:tc>
          <w:tcPr>
            <w:tcW w:w="1440" w:type="dxa"/>
          </w:tcPr>
          <w:p>
            <w:pPr>
              <w:spacing w:beforeLines="100" w:afterLines="1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行为</w:t>
            </w:r>
            <w:r>
              <w:rPr>
                <w:rFonts w:ascii="仿宋" w:hAnsi="仿宋" w:eastAsia="仿宋"/>
                <w:color w:val="000000" w:themeColor="text1"/>
                <w:sz w:val="30"/>
                <w:szCs w:val="30"/>
                <w14:textFill>
                  <w14:solidFill>
                    <w14:schemeClr w14:val="tx1"/>
                  </w14:solidFill>
                </w14:textFill>
              </w:rPr>
              <w:t>类型</w:t>
            </w:r>
          </w:p>
        </w:tc>
        <w:tc>
          <w:tcPr>
            <w:tcW w:w="1614" w:type="dxa"/>
          </w:tcPr>
          <w:p>
            <w:pPr>
              <w:spacing w:beforeLines="100" w:afterLine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扣分</w:t>
            </w:r>
            <w:r>
              <w:rPr>
                <w:rFonts w:ascii="仿宋" w:hAnsi="仿宋" w:eastAsia="仿宋"/>
                <w:color w:val="000000" w:themeColor="text1"/>
                <w:sz w:val="32"/>
                <w:szCs w:val="32"/>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858" w:type="dxa"/>
          </w:tcPr>
          <w:p>
            <w:pPr>
              <w:spacing w:beforeLines="100" w:afterLine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p>
        </w:tc>
        <w:tc>
          <w:tcPr>
            <w:tcW w:w="2231" w:type="dxa"/>
          </w:tcPr>
          <w:p>
            <w:pPr>
              <w:spacing w:beforeLines="100" w:afterLines="100"/>
              <w:rPr>
                <w:rFonts w:ascii="黑体" w:hAnsi="黑体" w:eastAsia="黑体"/>
                <w:color w:val="000000" w:themeColor="text1"/>
                <w:sz w:val="44"/>
                <w:szCs w:val="44"/>
                <w14:textFill>
                  <w14:solidFill>
                    <w14:schemeClr w14:val="tx1"/>
                  </w14:solidFill>
                </w14:textFill>
              </w:rPr>
            </w:pPr>
          </w:p>
        </w:tc>
        <w:tc>
          <w:tcPr>
            <w:tcW w:w="1440" w:type="dxa"/>
          </w:tcPr>
          <w:p>
            <w:pPr>
              <w:spacing w:beforeLines="100" w:afterLines="100"/>
              <w:rPr>
                <w:rFonts w:ascii="黑体" w:hAnsi="黑体" w:eastAsia="黑体"/>
                <w:color w:val="000000" w:themeColor="text1"/>
                <w:sz w:val="44"/>
                <w:szCs w:val="44"/>
                <w14:textFill>
                  <w14:solidFill>
                    <w14:schemeClr w14:val="tx1"/>
                  </w14:solidFill>
                </w14:textFill>
              </w:rPr>
            </w:pPr>
          </w:p>
        </w:tc>
        <w:tc>
          <w:tcPr>
            <w:tcW w:w="1561" w:type="dxa"/>
          </w:tcPr>
          <w:p>
            <w:pPr>
              <w:spacing w:beforeLines="100" w:afterLines="100"/>
              <w:rPr>
                <w:rFonts w:ascii="黑体" w:hAnsi="黑体" w:eastAsia="黑体"/>
                <w:color w:val="000000" w:themeColor="text1"/>
                <w:sz w:val="44"/>
                <w:szCs w:val="44"/>
                <w14:textFill>
                  <w14:solidFill>
                    <w14:schemeClr w14:val="tx1"/>
                  </w14:solidFill>
                </w14:textFill>
              </w:rPr>
            </w:pPr>
          </w:p>
        </w:tc>
        <w:tc>
          <w:tcPr>
            <w:tcW w:w="1440" w:type="dxa"/>
          </w:tcPr>
          <w:p>
            <w:pPr>
              <w:spacing w:beforeLines="100" w:afterLines="100"/>
              <w:rPr>
                <w:rFonts w:ascii="黑体" w:hAnsi="黑体" w:eastAsia="黑体"/>
                <w:color w:val="000000" w:themeColor="text1"/>
                <w:sz w:val="44"/>
                <w:szCs w:val="44"/>
                <w14:textFill>
                  <w14:solidFill>
                    <w14:schemeClr w14:val="tx1"/>
                  </w14:solidFill>
                </w14:textFill>
              </w:rPr>
            </w:pPr>
          </w:p>
        </w:tc>
        <w:tc>
          <w:tcPr>
            <w:tcW w:w="1614" w:type="dxa"/>
          </w:tcPr>
          <w:p>
            <w:pPr>
              <w:spacing w:beforeLines="100" w:afterLines="100"/>
              <w:rPr>
                <w:rFonts w:ascii="黑体" w:hAnsi="黑体" w:eastAsia="黑体"/>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858" w:type="dxa"/>
          </w:tcPr>
          <w:p>
            <w:pPr>
              <w:spacing w:beforeLines="100" w:afterLine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p>
        </w:tc>
        <w:tc>
          <w:tcPr>
            <w:tcW w:w="2231" w:type="dxa"/>
          </w:tcPr>
          <w:p>
            <w:pPr>
              <w:spacing w:beforeLines="100" w:afterLines="100"/>
              <w:rPr>
                <w:rFonts w:ascii="黑体" w:hAnsi="黑体" w:eastAsia="黑体"/>
                <w:color w:val="000000" w:themeColor="text1"/>
                <w:sz w:val="44"/>
                <w:szCs w:val="44"/>
                <w14:textFill>
                  <w14:solidFill>
                    <w14:schemeClr w14:val="tx1"/>
                  </w14:solidFill>
                </w14:textFill>
              </w:rPr>
            </w:pPr>
          </w:p>
        </w:tc>
        <w:tc>
          <w:tcPr>
            <w:tcW w:w="1440" w:type="dxa"/>
          </w:tcPr>
          <w:p>
            <w:pPr>
              <w:spacing w:beforeLines="100" w:afterLines="100"/>
              <w:rPr>
                <w:rFonts w:ascii="黑体" w:hAnsi="黑体" w:eastAsia="黑体"/>
                <w:color w:val="000000" w:themeColor="text1"/>
                <w:sz w:val="44"/>
                <w:szCs w:val="44"/>
                <w14:textFill>
                  <w14:solidFill>
                    <w14:schemeClr w14:val="tx1"/>
                  </w14:solidFill>
                </w14:textFill>
              </w:rPr>
            </w:pPr>
          </w:p>
        </w:tc>
        <w:tc>
          <w:tcPr>
            <w:tcW w:w="1561" w:type="dxa"/>
          </w:tcPr>
          <w:p>
            <w:pPr>
              <w:spacing w:beforeLines="100" w:afterLines="100"/>
              <w:rPr>
                <w:rFonts w:ascii="黑体" w:hAnsi="黑体" w:eastAsia="黑体"/>
                <w:color w:val="000000" w:themeColor="text1"/>
                <w:sz w:val="44"/>
                <w:szCs w:val="44"/>
                <w14:textFill>
                  <w14:solidFill>
                    <w14:schemeClr w14:val="tx1"/>
                  </w14:solidFill>
                </w14:textFill>
              </w:rPr>
            </w:pPr>
          </w:p>
        </w:tc>
        <w:tc>
          <w:tcPr>
            <w:tcW w:w="1440" w:type="dxa"/>
          </w:tcPr>
          <w:p>
            <w:pPr>
              <w:spacing w:beforeLines="100" w:afterLines="100"/>
              <w:rPr>
                <w:rFonts w:ascii="黑体" w:hAnsi="黑体" w:eastAsia="黑体"/>
                <w:color w:val="000000" w:themeColor="text1"/>
                <w:sz w:val="44"/>
                <w:szCs w:val="44"/>
                <w14:textFill>
                  <w14:solidFill>
                    <w14:schemeClr w14:val="tx1"/>
                  </w14:solidFill>
                </w14:textFill>
              </w:rPr>
            </w:pPr>
          </w:p>
        </w:tc>
        <w:tc>
          <w:tcPr>
            <w:tcW w:w="1614" w:type="dxa"/>
          </w:tcPr>
          <w:p>
            <w:pPr>
              <w:spacing w:beforeLines="100" w:afterLines="100"/>
              <w:rPr>
                <w:rFonts w:ascii="黑体" w:hAnsi="黑体" w:eastAsia="黑体"/>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858" w:type="dxa"/>
          </w:tcPr>
          <w:p>
            <w:pPr>
              <w:spacing w:beforeLines="100" w:afterLine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p>
        </w:tc>
        <w:tc>
          <w:tcPr>
            <w:tcW w:w="2231" w:type="dxa"/>
          </w:tcPr>
          <w:p>
            <w:pPr>
              <w:spacing w:beforeLines="100" w:afterLines="100"/>
              <w:rPr>
                <w:rFonts w:ascii="黑体" w:hAnsi="黑体" w:eastAsia="黑体"/>
                <w:color w:val="000000" w:themeColor="text1"/>
                <w:sz w:val="44"/>
                <w:szCs w:val="44"/>
                <w14:textFill>
                  <w14:solidFill>
                    <w14:schemeClr w14:val="tx1"/>
                  </w14:solidFill>
                </w14:textFill>
              </w:rPr>
            </w:pPr>
          </w:p>
        </w:tc>
        <w:tc>
          <w:tcPr>
            <w:tcW w:w="1440" w:type="dxa"/>
          </w:tcPr>
          <w:p>
            <w:pPr>
              <w:spacing w:beforeLines="100" w:afterLines="100"/>
              <w:rPr>
                <w:rFonts w:ascii="黑体" w:hAnsi="黑体" w:eastAsia="黑体"/>
                <w:color w:val="000000" w:themeColor="text1"/>
                <w:sz w:val="44"/>
                <w:szCs w:val="44"/>
                <w14:textFill>
                  <w14:solidFill>
                    <w14:schemeClr w14:val="tx1"/>
                  </w14:solidFill>
                </w14:textFill>
              </w:rPr>
            </w:pPr>
          </w:p>
        </w:tc>
        <w:tc>
          <w:tcPr>
            <w:tcW w:w="1561" w:type="dxa"/>
          </w:tcPr>
          <w:p>
            <w:pPr>
              <w:spacing w:beforeLines="100" w:afterLines="100"/>
              <w:rPr>
                <w:rFonts w:ascii="黑体" w:hAnsi="黑体" w:eastAsia="黑体"/>
                <w:color w:val="000000" w:themeColor="text1"/>
                <w:sz w:val="44"/>
                <w:szCs w:val="44"/>
                <w14:textFill>
                  <w14:solidFill>
                    <w14:schemeClr w14:val="tx1"/>
                  </w14:solidFill>
                </w14:textFill>
              </w:rPr>
            </w:pPr>
          </w:p>
        </w:tc>
        <w:tc>
          <w:tcPr>
            <w:tcW w:w="1440" w:type="dxa"/>
          </w:tcPr>
          <w:p>
            <w:pPr>
              <w:spacing w:beforeLines="100" w:afterLines="100"/>
              <w:rPr>
                <w:rFonts w:ascii="黑体" w:hAnsi="黑体" w:eastAsia="黑体"/>
                <w:color w:val="000000" w:themeColor="text1"/>
                <w:sz w:val="44"/>
                <w:szCs w:val="44"/>
                <w14:textFill>
                  <w14:solidFill>
                    <w14:schemeClr w14:val="tx1"/>
                  </w14:solidFill>
                </w14:textFill>
              </w:rPr>
            </w:pPr>
          </w:p>
        </w:tc>
        <w:tc>
          <w:tcPr>
            <w:tcW w:w="1614" w:type="dxa"/>
          </w:tcPr>
          <w:p>
            <w:pPr>
              <w:spacing w:beforeLines="100" w:afterLines="100"/>
              <w:rPr>
                <w:rFonts w:ascii="黑体" w:hAnsi="黑体" w:eastAsia="黑体"/>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858" w:type="dxa"/>
          </w:tcPr>
          <w:p>
            <w:pPr>
              <w:spacing w:beforeLines="100" w:afterLine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分值</w:t>
            </w:r>
            <w:r>
              <w:rPr>
                <w:rFonts w:ascii="仿宋" w:hAnsi="仿宋" w:eastAsia="仿宋"/>
                <w:color w:val="000000" w:themeColor="text1"/>
                <w:sz w:val="32"/>
                <w:szCs w:val="32"/>
                <w14:textFill>
                  <w14:solidFill>
                    <w14:schemeClr w14:val="tx1"/>
                  </w14:solidFill>
                </w14:textFill>
              </w:rPr>
              <w:t>汇总</w:t>
            </w:r>
          </w:p>
        </w:tc>
        <w:tc>
          <w:tcPr>
            <w:tcW w:w="8286" w:type="dxa"/>
            <w:gridSpan w:val="5"/>
          </w:tcPr>
          <w:p>
            <w:pPr>
              <w:spacing w:beforeLines="100" w:afterLines="100"/>
              <w:rPr>
                <w:rFonts w:ascii="黑体" w:hAnsi="黑体" w:eastAsia="黑体"/>
                <w:color w:val="000000" w:themeColor="text1"/>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858" w:type="dxa"/>
          </w:tcPr>
          <w:p>
            <w:pPr>
              <w:spacing w:beforeLines="100" w:afterLine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记录人</w:t>
            </w:r>
          </w:p>
        </w:tc>
        <w:tc>
          <w:tcPr>
            <w:tcW w:w="8286" w:type="dxa"/>
            <w:gridSpan w:val="5"/>
          </w:tcPr>
          <w:p>
            <w:pPr>
              <w:spacing w:beforeLines="100" w:afterLine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858" w:type="dxa"/>
          </w:tcPr>
          <w:p>
            <w:pPr>
              <w:spacing w:beforeLines="100" w:afterLine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复核人</w:t>
            </w:r>
          </w:p>
        </w:tc>
        <w:tc>
          <w:tcPr>
            <w:tcW w:w="8286" w:type="dxa"/>
            <w:gridSpan w:val="5"/>
          </w:tcPr>
          <w:p>
            <w:pPr>
              <w:spacing w:beforeLines="100" w:afterLine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858" w:type="dxa"/>
          </w:tcPr>
          <w:p>
            <w:pPr>
              <w:spacing w:beforeLines="100" w:afterLine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记录部室</w:t>
            </w:r>
          </w:p>
        </w:tc>
        <w:tc>
          <w:tcPr>
            <w:tcW w:w="8286" w:type="dxa"/>
            <w:gridSpan w:val="5"/>
          </w:tcPr>
          <w:p>
            <w:pPr>
              <w:spacing w:beforeLines="100" w:afterLines="1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（盖 章）</w:t>
            </w:r>
          </w:p>
        </w:tc>
      </w:tr>
    </w:tbl>
    <w:p>
      <w:pPr>
        <w:spacing w:beforeLines="100" w:afterLine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备注</w:t>
      </w:r>
      <w:r>
        <w:rPr>
          <w:rFonts w:ascii="仿宋" w:hAnsi="仿宋" w:eastAsia="仿宋"/>
          <w:color w:val="000000" w:themeColor="text1"/>
          <w:sz w:val="32"/>
          <w:szCs w:val="32"/>
          <w14:textFill>
            <w14:solidFill>
              <w14:schemeClr w14:val="tx1"/>
            </w14:solidFill>
          </w14:textFill>
        </w:rPr>
        <w:t>：本表一式两份，被记录人、记录</w:t>
      </w:r>
      <w:r>
        <w:rPr>
          <w:rFonts w:hint="eastAsia" w:ascii="仿宋" w:hAnsi="仿宋" w:eastAsia="仿宋"/>
          <w:color w:val="000000" w:themeColor="text1"/>
          <w:sz w:val="32"/>
          <w:szCs w:val="32"/>
          <w14:textFill>
            <w14:solidFill>
              <w14:schemeClr w14:val="tx1"/>
            </w14:solidFill>
          </w14:textFill>
        </w:rPr>
        <w:t>部</w:t>
      </w:r>
      <w:r>
        <w:rPr>
          <w:rFonts w:ascii="仿宋" w:hAnsi="仿宋" w:eastAsia="仿宋"/>
          <w:color w:val="000000" w:themeColor="text1"/>
          <w:sz w:val="32"/>
          <w:szCs w:val="32"/>
          <w14:textFill>
            <w14:solidFill>
              <w14:schemeClr w14:val="tx1"/>
            </w14:solidFill>
          </w14:textFill>
        </w:rPr>
        <w:t>室各留存一份；如有佐证材料请附</w:t>
      </w:r>
      <w:r>
        <w:rPr>
          <w:rFonts w:hint="eastAsia" w:ascii="仿宋" w:hAnsi="仿宋" w:eastAsia="仿宋"/>
          <w:color w:val="000000" w:themeColor="text1"/>
          <w:sz w:val="32"/>
          <w:szCs w:val="32"/>
          <w14:textFill>
            <w14:solidFill>
              <w14:schemeClr w14:val="tx1"/>
            </w14:solidFill>
          </w14:textFill>
        </w:rPr>
        <w:t>后</w:t>
      </w:r>
      <w:r>
        <w:rPr>
          <w:rFonts w:ascii="仿宋" w:hAnsi="仿宋" w:eastAsia="仿宋"/>
          <w:color w:val="000000" w:themeColor="text1"/>
          <w:sz w:val="32"/>
          <w:szCs w:val="32"/>
          <w14:textFill>
            <w14:solidFill>
              <w14:schemeClr w14:val="tx1"/>
            </w14:solidFill>
          </w14:textFill>
        </w:rPr>
        <w:t>。</w:t>
      </w:r>
    </w:p>
    <w:p>
      <w:pPr>
        <w:spacing w:beforeLines="100" w:afterLines="100"/>
        <w:rPr>
          <w:rFonts w:ascii="仿宋" w:hAnsi="仿宋" w:eastAsia="仿宋"/>
          <w:color w:val="000000" w:themeColor="text1"/>
          <w:sz w:val="32"/>
          <w:szCs w:val="32"/>
          <w14:textFill>
            <w14:solidFill>
              <w14:schemeClr w14:val="tx1"/>
            </w14:solidFill>
          </w14:textFill>
        </w:rPr>
      </w:pPr>
    </w:p>
    <w:p>
      <w:pPr>
        <w:spacing w:beforeLines="100" w:afterLines="100"/>
        <w:rPr>
          <w:rFonts w:ascii="仿宋" w:hAnsi="仿宋" w:eastAsia="仿宋"/>
          <w:color w:val="000000" w:themeColor="text1"/>
          <w:sz w:val="32"/>
          <w:szCs w:val="32"/>
          <w14:textFill>
            <w14:solidFill>
              <w14:schemeClr w14:val="tx1"/>
            </w14:solidFill>
          </w14:textFill>
        </w:rPr>
      </w:pPr>
    </w:p>
    <w:p>
      <w:pPr>
        <w:spacing w:beforeLines="100" w:afterLines="100"/>
        <w:rPr>
          <w:rFonts w:ascii="仿宋" w:hAnsi="仿宋" w:eastAsia="仿宋"/>
          <w:color w:val="000000" w:themeColor="text1"/>
          <w:sz w:val="32"/>
          <w:szCs w:val="32"/>
          <w14:textFill>
            <w14:solidFill>
              <w14:schemeClr w14:val="tx1"/>
            </w14:solidFill>
          </w14:textFill>
        </w:rPr>
      </w:pPr>
    </w:p>
    <w:p>
      <w:pPr>
        <w:spacing w:beforeLines="100" w:afterLines="100"/>
        <w:rPr>
          <w:rFonts w:ascii="仿宋" w:hAnsi="仿宋" w:eastAsia="仿宋"/>
          <w:color w:val="000000" w:themeColor="text1"/>
          <w:sz w:val="32"/>
          <w:szCs w:val="32"/>
          <w14:textFill>
            <w14:solidFill>
              <w14:schemeClr w14:val="tx1"/>
            </w14:solidFill>
          </w14:textFill>
        </w:rPr>
      </w:pPr>
    </w:p>
    <w:p>
      <w:pPr>
        <w:spacing w:beforeLines="100" w:afterLines="100"/>
        <w:rPr>
          <w:rFonts w:ascii="仿宋" w:hAnsi="仿宋" w:eastAsia="仿宋"/>
          <w:color w:val="000000" w:themeColor="text1"/>
          <w:sz w:val="32"/>
          <w:szCs w:val="32"/>
          <w14:textFill>
            <w14:solidFill>
              <w14:schemeClr w14:val="tx1"/>
            </w14:solidFill>
          </w14:textFill>
        </w:rPr>
      </w:pPr>
    </w:p>
    <w:p>
      <w:pPr>
        <w:spacing w:beforeLines="100" w:afterLines="100"/>
        <w:rPr>
          <w:rFonts w:ascii="仿宋" w:hAnsi="仿宋" w:eastAsia="仿宋"/>
          <w:color w:val="000000" w:themeColor="text1"/>
          <w:sz w:val="32"/>
          <w:szCs w:val="32"/>
          <w14:textFill>
            <w14:solidFill>
              <w14:schemeClr w14:val="tx1"/>
            </w14:solidFill>
          </w14:textFill>
        </w:rPr>
      </w:pPr>
    </w:p>
    <w:p>
      <w:pPr>
        <w:spacing w:beforeLines="100" w:afterLines="100"/>
        <w:rPr>
          <w:rFonts w:ascii="仿宋" w:hAnsi="仿宋" w:eastAsia="仿宋"/>
          <w:color w:val="000000" w:themeColor="text1"/>
          <w:sz w:val="32"/>
          <w:szCs w:val="32"/>
          <w14:textFill>
            <w14:solidFill>
              <w14:schemeClr w14:val="tx1"/>
            </w14:solidFill>
          </w14:textFill>
        </w:rPr>
      </w:pPr>
    </w:p>
    <w:p>
      <w:pPr>
        <w:spacing w:beforeLines="100" w:afterLines="100"/>
        <w:rPr>
          <w:rFonts w:ascii="仿宋" w:hAnsi="仿宋" w:eastAsia="仿宋"/>
          <w:color w:val="000000" w:themeColor="text1"/>
          <w:sz w:val="32"/>
          <w:szCs w:val="32"/>
          <w14:textFill>
            <w14:solidFill>
              <w14:schemeClr w14:val="tx1"/>
            </w14:solidFill>
          </w14:textFill>
        </w:rPr>
      </w:pPr>
    </w:p>
    <w:p>
      <w:pPr>
        <w:spacing w:beforeLines="100" w:afterLines="100"/>
        <w:rPr>
          <w:rFonts w:ascii="仿宋" w:hAnsi="仿宋" w:eastAsia="仿宋"/>
          <w:color w:val="000000" w:themeColor="text1"/>
          <w:sz w:val="32"/>
          <w:szCs w:val="32"/>
          <w14:textFill>
            <w14:solidFill>
              <w14:schemeClr w14:val="tx1"/>
            </w14:solidFill>
          </w14:textFill>
        </w:rPr>
      </w:pPr>
    </w:p>
    <w:p>
      <w:pPr>
        <w:spacing w:beforeLines="100" w:afterLines="100"/>
        <w:rPr>
          <w:rFonts w:ascii="仿宋" w:hAnsi="仿宋" w:eastAsia="仿宋"/>
          <w:color w:val="000000" w:themeColor="text1"/>
          <w:sz w:val="32"/>
          <w:szCs w:val="32"/>
          <w14:textFill>
            <w14:solidFill>
              <w14:schemeClr w14:val="tx1"/>
            </w14:solidFill>
          </w14:textFill>
        </w:rPr>
      </w:pPr>
    </w:p>
    <w:p>
      <w:pPr>
        <w:spacing w:beforeLines="100" w:afterLines="100"/>
        <w:rPr>
          <w:rFonts w:ascii="仿宋" w:hAnsi="仿宋" w:eastAsia="仿宋"/>
          <w:color w:val="000000" w:themeColor="text1"/>
          <w:sz w:val="32"/>
          <w:szCs w:val="32"/>
          <w14:textFill>
            <w14:solidFill>
              <w14:schemeClr w14:val="tx1"/>
            </w14:solidFill>
          </w14:textFill>
        </w:rPr>
      </w:pPr>
    </w:p>
    <w:p>
      <w:pPr>
        <w:spacing w:beforeLines="100" w:afterLines="100"/>
        <w:rPr>
          <w:rFonts w:ascii="仿宋" w:hAnsi="仿宋" w:eastAsia="仿宋"/>
          <w:color w:val="000000" w:themeColor="text1"/>
          <w:sz w:val="32"/>
          <w:szCs w:val="32"/>
          <w14:textFill>
            <w14:solidFill>
              <w14:schemeClr w14:val="tx1"/>
            </w14:solidFill>
          </w14:textFill>
        </w:rPr>
      </w:pPr>
    </w:p>
    <w:p>
      <w:pPr>
        <w:spacing w:beforeLines="100" w:afterLines="100"/>
        <w:rPr>
          <w:rFonts w:ascii="仿宋" w:hAnsi="仿宋" w:eastAsia="仿宋"/>
          <w:color w:val="000000" w:themeColor="text1"/>
          <w:sz w:val="32"/>
          <w:szCs w:val="32"/>
          <w14:textFill>
            <w14:solidFill>
              <w14:schemeClr w14:val="tx1"/>
            </w14:solidFill>
          </w14:textFill>
        </w:rPr>
      </w:pPr>
    </w:p>
    <w:tbl>
      <w:tblPr>
        <w:tblStyle w:val="6"/>
        <w:tblpPr w:leftFromText="180" w:rightFromText="180" w:vertAnchor="page" w:horzAnchor="margin" w:tblpXSpec="center" w:tblpY="2026"/>
        <w:tblW w:w="9228" w:type="dxa"/>
        <w:tblInd w:w="0" w:type="dxa"/>
        <w:tblLayout w:type="fixed"/>
        <w:tblCellMar>
          <w:top w:w="0" w:type="dxa"/>
          <w:left w:w="108" w:type="dxa"/>
          <w:bottom w:w="0" w:type="dxa"/>
          <w:right w:w="108" w:type="dxa"/>
        </w:tblCellMar>
      </w:tblPr>
      <w:tblGrid>
        <w:gridCol w:w="859"/>
        <w:gridCol w:w="863"/>
        <w:gridCol w:w="574"/>
        <w:gridCol w:w="5515"/>
        <w:gridCol w:w="1417"/>
      </w:tblGrid>
      <w:tr>
        <w:tblPrEx>
          <w:tblCellMar>
            <w:top w:w="0" w:type="dxa"/>
            <w:left w:w="108" w:type="dxa"/>
            <w:bottom w:w="0" w:type="dxa"/>
            <w:right w:w="108" w:type="dxa"/>
          </w:tblCellMar>
        </w:tblPrEx>
        <w:trPr>
          <w:trHeight w:val="1298" w:hRule="atLeast"/>
        </w:trPr>
        <w:tc>
          <w:tcPr>
            <w:tcW w:w="9228" w:type="dxa"/>
            <w:gridSpan w:val="5"/>
            <w:tcBorders>
              <w:top w:val="nil"/>
              <w:left w:val="nil"/>
              <w:bottom w:val="single" w:color="auto" w:sz="4" w:space="0"/>
              <w:right w:val="nil"/>
            </w:tcBorders>
            <w:shd w:val="clear" w:color="auto" w:fill="auto"/>
            <w:vAlign w:val="center"/>
          </w:tcPr>
          <w:p>
            <w:pPr>
              <w:widowControl/>
              <w:rPr>
                <w:rFonts w:hint="eastAsia" w:ascii="黑体" w:hAnsi="黑体" w:eastAsia="黑体" w:cs="黑体"/>
                <w:b/>
                <w:bCs/>
                <w:kern w:val="0"/>
                <w:sz w:val="32"/>
                <w:szCs w:val="32"/>
              </w:rPr>
            </w:pPr>
            <w:r>
              <w:rPr>
                <w:rFonts w:hint="eastAsia" w:ascii="黑体" w:hAnsi="黑体" w:eastAsia="黑体" w:cs="黑体"/>
                <w:kern w:val="0"/>
                <w:sz w:val="32"/>
                <w:szCs w:val="32"/>
              </w:rPr>
              <w:t xml:space="preserve">附件1  </w:t>
            </w:r>
            <w:r>
              <w:rPr>
                <w:rFonts w:hint="eastAsia" w:ascii="黑体" w:hAnsi="黑体" w:eastAsia="黑体" w:cs="黑体"/>
                <w:b/>
                <w:bCs/>
                <w:kern w:val="0"/>
                <w:sz w:val="32"/>
                <w:szCs w:val="32"/>
              </w:rPr>
              <w:t xml:space="preserve"> </w:t>
            </w:r>
          </w:p>
          <w:p>
            <w:pPr>
              <w:widowControl/>
              <w:jc w:val="center"/>
              <w:rPr>
                <w:rFonts w:hint="eastAsia" w:ascii="方正小标宋简体" w:hAnsi="宋体" w:eastAsia="方正小标宋简体" w:cs="宋体"/>
                <w:kern w:val="0"/>
                <w:sz w:val="40"/>
                <w:szCs w:val="40"/>
              </w:rPr>
            </w:pPr>
          </w:p>
          <w:p>
            <w:pPr>
              <w:widowControl/>
              <w:jc w:val="center"/>
              <w:rPr>
                <w:rFonts w:ascii="宋体" w:hAnsi="宋体" w:eastAsia="宋体" w:cs="宋体"/>
                <w:b/>
                <w:bCs/>
                <w:kern w:val="0"/>
                <w:sz w:val="28"/>
                <w:szCs w:val="28"/>
              </w:rPr>
            </w:pPr>
            <w:r>
              <w:rPr>
                <w:rFonts w:hint="eastAsia" w:ascii="方正小标宋简体" w:hAnsi="宋体" w:eastAsia="方正小标宋简体" w:cs="宋体"/>
                <w:kern w:val="0"/>
                <w:sz w:val="40"/>
                <w:szCs w:val="40"/>
              </w:rPr>
              <w:t>招标（采购）</w:t>
            </w:r>
            <w:r>
              <w:rPr>
                <w:rFonts w:hint="eastAsia" w:ascii="方正小标宋简体" w:hAnsi="宋体" w:eastAsia="方正小标宋简体" w:cs="宋体"/>
                <w:kern w:val="0"/>
                <w:sz w:val="40"/>
                <w:szCs w:val="40"/>
                <w:lang w:eastAsia="zh-CN"/>
              </w:rPr>
              <w:t>、出让</w:t>
            </w:r>
            <w:r>
              <w:rPr>
                <w:rFonts w:hint="eastAsia" w:ascii="方正小标宋简体" w:hAnsi="宋体" w:eastAsia="方正小标宋简体" w:cs="宋体"/>
                <w:kern w:val="0"/>
                <w:sz w:val="40"/>
                <w:szCs w:val="40"/>
              </w:rPr>
              <w:t>人信用信息记录评价标准</w:t>
            </w:r>
          </w:p>
        </w:tc>
      </w:tr>
      <w:tr>
        <w:tblPrEx>
          <w:tblCellMar>
            <w:top w:w="0" w:type="dxa"/>
            <w:left w:w="108" w:type="dxa"/>
            <w:bottom w:w="0" w:type="dxa"/>
            <w:right w:w="108" w:type="dxa"/>
          </w:tblCellMar>
        </w:tblPrEx>
        <w:trPr>
          <w:trHeight w:val="1235" w:hRule="atLeast"/>
        </w:trPr>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t>评价</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bCs/>
                <w:kern w:val="0"/>
                <w:sz w:val="28"/>
                <w:szCs w:val="28"/>
              </w:rPr>
            </w:pPr>
            <w:r>
              <w:rPr>
                <w:rFonts w:hint="eastAsia" w:ascii="宋体" w:hAnsi="宋体" w:eastAsia="宋体" w:cs="宋体"/>
                <w:b/>
                <w:bCs/>
                <w:kern w:val="0"/>
                <w:sz w:val="28"/>
                <w:szCs w:val="28"/>
              </w:rPr>
              <w:t>内容</w:t>
            </w:r>
          </w:p>
        </w:tc>
        <w:tc>
          <w:tcPr>
            <w:tcW w:w="8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bCs/>
                <w:kern w:val="0"/>
                <w:sz w:val="28"/>
                <w:szCs w:val="28"/>
              </w:rPr>
            </w:pPr>
            <w:r>
              <w:rPr>
                <w:rFonts w:hint="eastAsia" w:ascii="宋体" w:hAnsi="宋体" w:eastAsia="宋体" w:cs="宋体"/>
                <w:b/>
                <w:bCs/>
                <w:kern w:val="0"/>
                <w:sz w:val="28"/>
                <w:szCs w:val="28"/>
              </w:rPr>
              <w:t>行为类型</w:t>
            </w:r>
          </w:p>
        </w:tc>
        <w:tc>
          <w:tcPr>
            <w:tcW w:w="608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bCs/>
                <w:kern w:val="0"/>
                <w:sz w:val="28"/>
                <w:szCs w:val="28"/>
              </w:rPr>
            </w:pPr>
            <w:r>
              <w:rPr>
                <w:rFonts w:hint="eastAsia" w:ascii="宋体" w:hAnsi="宋体" w:eastAsia="宋体" w:cs="宋体"/>
                <w:b/>
                <w:bCs/>
                <w:kern w:val="0"/>
                <w:sz w:val="28"/>
                <w:szCs w:val="28"/>
              </w:rPr>
              <w:t>行为描述</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b/>
                <w:bCs/>
                <w:kern w:val="0"/>
                <w:sz w:val="28"/>
                <w:szCs w:val="28"/>
              </w:rPr>
            </w:pPr>
            <w:r>
              <w:rPr>
                <w:rFonts w:hint="eastAsia" w:ascii="宋体" w:hAnsi="宋体" w:eastAsia="宋体" w:cs="宋体"/>
                <w:b/>
                <w:bCs/>
                <w:kern w:val="0"/>
                <w:sz w:val="28"/>
                <w:szCs w:val="28"/>
              </w:rPr>
              <w:t>计分规则</w:t>
            </w:r>
          </w:p>
        </w:tc>
      </w:tr>
      <w:tr>
        <w:tblPrEx>
          <w:tblCellMar>
            <w:top w:w="0" w:type="dxa"/>
            <w:left w:w="108" w:type="dxa"/>
            <w:bottom w:w="0" w:type="dxa"/>
            <w:right w:w="108" w:type="dxa"/>
          </w:tblCellMar>
        </w:tblPrEx>
        <w:trPr>
          <w:trHeight w:val="1069" w:hRule="atLeast"/>
        </w:trPr>
        <w:tc>
          <w:tcPr>
            <w:tcW w:w="859" w:type="dxa"/>
            <w:vMerge w:val="restart"/>
            <w:tcBorders>
              <w:top w:val="single" w:color="auto" w:sz="4" w:space="0"/>
              <w:left w:val="single" w:color="auto" w:sz="4" w:space="0"/>
              <w:bottom w:val="nil"/>
              <w:right w:val="single" w:color="auto" w:sz="4" w:space="0"/>
            </w:tcBorders>
            <w:shd w:val="clear" w:color="auto" w:fill="auto"/>
            <w:textDirection w:val="tbRlV"/>
            <w:vAlign w:val="center"/>
          </w:tcPr>
          <w:p>
            <w:pPr>
              <w:widowControl/>
              <w:spacing w:line="4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进场交易行为</w:t>
            </w:r>
          </w:p>
        </w:tc>
        <w:tc>
          <w:tcPr>
            <w:tcW w:w="863" w:type="dxa"/>
            <w:vMerge w:val="restart"/>
            <w:tcBorders>
              <w:top w:val="single" w:color="auto" w:sz="4" w:space="0"/>
              <w:left w:val="single" w:color="auto" w:sz="4" w:space="0"/>
              <w:bottom w:val="nil"/>
              <w:right w:val="single" w:color="auto" w:sz="4" w:space="0"/>
            </w:tcBorders>
            <w:shd w:val="clear" w:color="auto" w:fill="auto"/>
            <w:textDirection w:val="tbRlV"/>
            <w:vAlign w:val="center"/>
          </w:tcPr>
          <w:p>
            <w:pPr>
              <w:widowControl/>
              <w:spacing w:line="400" w:lineRule="exact"/>
              <w:jc w:val="center"/>
              <w:rPr>
                <w:rFonts w:ascii="宋体" w:hAnsi="宋体" w:eastAsia="宋体" w:cs="宋体"/>
                <w:b/>
                <w:bCs/>
                <w:kern w:val="0"/>
                <w:sz w:val="22"/>
              </w:rPr>
            </w:pPr>
            <w:r>
              <w:rPr>
                <w:rFonts w:hint="eastAsia" w:ascii="宋体" w:hAnsi="宋体" w:eastAsia="宋体" w:cs="宋体"/>
                <w:b/>
                <w:bCs/>
                <w:kern w:val="0"/>
                <w:sz w:val="22"/>
              </w:rPr>
              <w:t>一般不良行为</w:t>
            </w:r>
          </w:p>
        </w:tc>
        <w:tc>
          <w:tcPr>
            <w:tcW w:w="574" w:type="dxa"/>
            <w:tcBorders>
              <w:top w:val="single" w:color="auto" w:sz="4" w:space="0"/>
              <w:left w:val="single" w:color="auto" w:sz="4" w:space="0"/>
              <w:bottom w:val="single" w:color="auto" w:sz="4" w:space="0"/>
              <w:right w:val="nil"/>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项目未按照规定执行招标计划提前发布制度或发布时间不足30日的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1096"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未按要求向电子交易平台提交</w:t>
            </w:r>
            <w:r>
              <w:rPr>
                <w:rFonts w:hint="eastAsia" w:cs="宋体" w:asciiTheme="minorEastAsia" w:hAnsiTheme="minorEastAsia"/>
                <w:kern w:val="0"/>
                <w:sz w:val="24"/>
                <w:szCs w:val="24"/>
                <w:lang w:eastAsia="zh-CN"/>
              </w:rPr>
              <w:t>项目登记资料或</w:t>
            </w:r>
            <w:r>
              <w:rPr>
                <w:rFonts w:hint="eastAsia" w:cs="宋体" w:asciiTheme="minorEastAsia" w:hAnsiTheme="minorEastAsia"/>
                <w:kern w:val="0"/>
                <w:sz w:val="24"/>
                <w:szCs w:val="24"/>
              </w:rPr>
              <w:t>项目</w:t>
            </w:r>
            <w:r>
              <w:rPr>
                <w:rFonts w:hint="eastAsia" w:cs="宋体" w:asciiTheme="minorEastAsia" w:hAnsiTheme="minorEastAsia"/>
                <w:kern w:val="0"/>
                <w:sz w:val="24"/>
                <w:szCs w:val="24"/>
                <w:lang w:eastAsia="zh-CN"/>
              </w:rPr>
              <w:t>注册</w:t>
            </w:r>
            <w:r>
              <w:rPr>
                <w:rFonts w:hint="eastAsia" w:cs="宋体" w:asciiTheme="minorEastAsia" w:hAnsiTheme="minorEastAsia"/>
                <w:kern w:val="0"/>
                <w:sz w:val="24"/>
                <w:szCs w:val="24"/>
              </w:rPr>
              <w:t>信息录入不全或有明显错误的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1456"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招标公告及招标文件未载明异议（质疑）受理方式、渠道的；未载明投诉受理方式、渠道的；未按要求载明项目具体行政监督部门的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982"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招标文件、答疑澄清或补充说明等资料编制不严谨，前后条款互相矛盾的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1834"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未在招标文件中载明投标保证金代收事宜或提交方式的；未按规定时限向电子交易平台提交投标保证金退还申请的；要求投标人提交的投标保证金交纳形式违反有关政策规定的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1265"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在开评标活动中，招标（采购）人代表未按时到达开评标现场的；评标过程中</w:t>
            </w:r>
            <w:r>
              <w:rPr>
                <w:rFonts w:hint="eastAsia" w:cs="宋体" w:asciiTheme="minorEastAsia" w:hAnsiTheme="minorEastAsia"/>
                <w:kern w:val="0"/>
                <w:sz w:val="24"/>
                <w:szCs w:val="24"/>
                <w:lang w:eastAsia="zh-CN"/>
              </w:rPr>
              <w:t>评委需招标人答疑澄清时，超过半小时未答复的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822"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不遵守场所规定，随意进出电子见证室、评标室的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1028"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损坏、遗失开评标区域设备设施，或使用交易场所公用设备从事非开、评标业务的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1009"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无正当理由未在规定时间内发布中标</w:t>
            </w:r>
            <w:r>
              <w:rPr>
                <w:rFonts w:hint="eastAsia" w:cs="宋体" w:asciiTheme="minorEastAsia" w:hAnsiTheme="minorEastAsia"/>
                <w:kern w:val="0"/>
                <w:sz w:val="24"/>
                <w:szCs w:val="24"/>
                <w:lang w:eastAsia="zh-CN"/>
              </w:rPr>
              <w:t>、结果</w:t>
            </w:r>
            <w:r>
              <w:rPr>
                <w:rFonts w:hint="eastAsia" w:cs="宋体" w:asciiTheme="minorEastAsia" w:hAnsiTheme="minorEastAsia"/>
                <w:kern w:val="0"/>
                <w:sz w:val="24"/>
                <w:szCs w:val="24"/>
              </w:rPr>
              <w:t>公示或办理中标通知书、交易见（鉴）证书的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1846"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对潜在投标人在规定时间内提出的答疑，不及时进行对应性、实质性答复澄清，或使用“按招标文件执行、按有关规定执行”等不明确、不具体的含糊措辞进行答复的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841"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未执行招标投标信息发布有关制度规定的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1108"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未经允许私自携带通讯工具</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上网设备</w:t>
            </w:r>
            <w:r>
              <w:rPr>
                <w:rFonts w:hint="eastAsia" w:cs="宋体" w:asciiTheme="minorEastAsia" w:hAnsiTheme="minorEastAsia"/>
                <w:kern w:val="0"/>
                <w:sz w:val="24"/>
                <w:szCs w:val="24"/>
                <w:lang w:val="en-US" w:eastAsia="zh-CN"/>
              </w:rPr>
              <w:t>及其他电子设备</w:t>
            </w:r>
            <w:r>
              <w:rPr>
                <w:rFonts w:hint="eastAsia" w:cs="宋体" w:asciiTheme="minorEastAsia" w:hAnsiTheme="minorEastAsia"/>
                <w:kern w:val="0"/>
                <w:sz w:val="24"/>
                <w:szCs w:val="24"/>
              </w:rPr>
              <w:t>进入评标区的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1108"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13</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出让人未按要求在委托申请国有建设用地使用权招拍挂出让前通过净地系统审批，造成招拍挂出让活动中止或终止的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1108"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14</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未配合交易平台完成网上交易各环节工作和“应进必进”工作的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1108"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15</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出让人提交的出让信息有误和信息不全，造成招拍挂出让活动中止或终止的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1108"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16</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出让人未按照出让公告时间及时在相关网站进行发布，不能与交易平台等相关发布渠道同步的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trHeight w:val="1846"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restart"/>
            <w:tcBorders>
              <w:top w:val="single" w:color="auto" w:sz="4" w:space="0"/>
              <w:left w:val="single" w:color="auto" w:sz="4" w:space="0"/>
              <w:bottom w:val="nil"/>
              <w:right w:val="single" w:color="auto" w:sz="4" w:space="0"/>
            </w:tcBorders>
            <w:shd w:val="clear" w:color="auto" w:fill="auto"/>
            <w:textDirection w:val="tbRlV"/>
            <w:vAlign w:val="center"/>
          </w:tcPr>
          <w:p>
            <w:pPr>
              <w:widowControl/>
              <w:spacing w:line="400" w:lineRule="exact"/>
              <w:jc w:val="center"/>
              <w:rPr>
                <w:rFonts w:ascii="宋体" w:hAnsi="宋体" w:eastAsia="宋体" w:cs="宋体"/>
                <w:b/>
                <w:bCs/>
                <w:kern w:val="0"/>
                <w:sz w:val="22"/>
              </w:rPr>
            </w:pPr>
            <w:r>
              <w:rPr>
                <w:rFonts w:hint="eastAsia" w:ascii="宋体" w:hAnsi="宋体" w:eastAsia="宋体" w:cs="宋体"/>
                <w:b/>
                <w:bCs/>
                <w:kern w:val="0"/>
                <w:sz w:val="22"/>
              </w:rPr>
              <w:t>较重不良行为</w:t>
            </w: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7</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不按规定国家标准文本或有关主管部门制定的示范文本、格式编制招标公告及招标文件的，或擅自修改统一规定内容的；或内容不符合全流程电子化工作要求的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trHeight w:val="1124"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8</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上传的中标公示、中标结果公告</w:t>
            </w:r>
            <w:r>
              <w:rPr>
                <w:rFonts w:hint="eastAsia" w:cs="宋体" w:asciiTheme="minorEastAsia" w:hAnsiTheme="minorEastAsia"/>
                <w:kern w:val="0"/>
                <w:sz w:val="24"/>
                <w:szCs w:val="24"/>
                <w:lang w:eastAsia="zh-CN"/>
              </w:rPr>
              <w:t>、结果公示</w:t>
            </w:r>
            <w:r>
              <w:rPr>
                <w:rFonts w:hint="eastAsia" w:cs="宋体" w:asciiTheme="minorEastAsia" w:hAnsiTheme="minorEastAsia"/>
                <w:kern w:val="0"/>
                <w:sz w:val="24"/>
                <w:szCs w:val="24"/>
              </w:rPr>
              <w:t>信息有错误或公示、公告内容不完整的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trHeight w:val="968"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9</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对有关行业行政主管部门或交易中心下发的文件通知拒不执行的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trHeight w:val="1851"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20</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在招标公告或招标文件中以不合理的条件限制或者排斥潜在投标人</w:t>
            </w:r>
            <w:r>
              <w:rPr>
                <w:rFonts w:hint="eastAsia" w:cs="宋体" w:asciiTheme="minorEastAsia" w:hAnsiTheme="minorEastAsia"/>
                <w:kern w:val="0"/>
                <w:sz w:val="24"/>
                <w:szCs w:val="24"/>
                <w:lang w:eastAsia="zh-CN"/>
              </w:rPr>
              <w:t>、竞买人</w:t>
            </w:r>
            <w:r>
              <w:rPr>
                <w:rFonts w:hint="eastAsia" w:cs="宋体" w:asciiTheme="minorEastAsia" w:hAnsiTheme="minorEastAsia"/>
                <w:kern w:val="0"/>
                <w:sz w:val="24"/>
                <w:szCs w:val="24"/>
              </w:rPr>
              <w:t>的；对潜在投标人</w:t>
            </w:r>
            <w:r>
              <w:rPr>
                <w:rFonts w:hint="eastAsia" w:cs="宋体" w:asciiTheme="minorEastAsia" w:hAnsiTheme="minorEastAsia"/>
                <w:kern w:val="0"/>
                <w:sz w:val="24"/>
                <w:szCs w:val="24"/>
                <w:lang w:eastAsia="zh-CN"/>
              </w:rPr>
              <w:t>、竞买人</w:t>
            </w:r>
            <w:r>
              <w:rPr>
                <w:rFonts w:hint="eastAsia" w:cs="宋体" w:asciiTheme="minorEastAsia" w:hAnsiTheme="minorEastAsia"/>
                <w:kern w:val="0"/>
                <w:sz w:val="24"/>
                <w:szCs w:val="24"/>
              </w:rPr>
              <w:t>实行歧视待遇的；强制要求投标人</w:t>
            </w:r>
            <w:r>
              <w:rPr>
                <w:rFonts w:hint="eastAsia" w:cs="宋体" w:asciiTheme="minorEastAsia" w:hAnsiTheme="minorEastAsia"/>
                <w:kern w:val="0"/>
                <w:sz w:val="24"/>
                <w:szCs w:val="24"/>
                <w:lang w:eastAsia="zh-CN"/>
              </w:rPr>
              <w:t>、竞买人</w:t>
            </w:r>
            <w:r>
              <w:rPr>
                <w:rFonts w:hint="eastAsia" w:cs="宋体" w:asciiTheme="minorEastAsia" w:hAnsiTheme="minorEastAsia"/>
                <w:kern w:val="0"/>
                <w:sz w:val="24"/>
                <w:szCs w:val="24"/>
              </w:rPr>
              <w:t>组成联合体共同投标的；限制投标人</w:t>
            </w:r>
            <w:r>
              <w:rPr>
                <w:rFonts w:hint="eastAsia" w:cs="宋体" w:asciiTheme="minorEastAsia" w:hAnsiTheme="minorEastAsia"/>
                <w:kern w:val="0"/>
                <w:sz w:val="24"/>
                <w:szCs w:val="24"/>
                <w:lang w:eastAsia="zh-CN"/>
              </w:rPr>
              <w:t>、竞买人</w:t>
            </w:r>
            <w:r>
              <w:rPr>
                <w:rFonts w:hint="eastAsia" w:cs="宋体" w:asciiTheme="minorEastAsia" w:hAnsiTheme="minorEastAsia"/>
                <w:kern w:val="0"/>
                <w:sz w:val="24"/>
                <w:szCs w:val="24"/>
              </w:rPr>
              <w:t>之间公平竞争的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trHeight w:val="1534"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21</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招标文件（资格预审文件）的发售、澄清、修改的时限，或者确定提交招标文件（资格预审文件）的时限不符合规定</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trHeight w:val="1401"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22</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未按规定及时提交评标专家需求抽取申请，或者申请中未明确回避条件、专家类别影响评标工作顺利开展的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trHeight w:val="980"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23</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因招标（采购）人</w:t>
            </w:r>
            <w:r>
              <w:rPr>
                <w:rFonts w:hint="eastAsia" w:cs="宋体" w:asciiTheme="minorEastAsia" w:hAnsiTheme="minorEastAsia"/>
                <w:kern w:val="0"/>
                <w:sz w:val="24"/>
                <w:szCs w:val="24"/>
                <w:lang w:eastAsia="zh-CN"/>
              </w:rPr>
              <w:t>、出让人</w:t>
            </w:r>
            <w:r>
              <w:rPr>
                <w:rFonts w:hint="eastAsia" w:cs="宋体" w:asciiTheme="minorEastAsia" w:hAnsiTheme="minorEastAsia"/>
                <w:kern w:val="0"/>
                <w:sz w:val="24"/>
                <w:szCs w:val="24"/>
              </w:rPr>
              <w:t>工作失误，引起有效投诉的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trHeight w:val="1122"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24</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在组织评标过程中，限制评标专家审阅评审材料，或催促评标专家结束评审的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trHeight w:val="1137"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5</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不服从交易中心工作人员协调和管理，扰乱正常交易秩序的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trHeight w:val="1413"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6</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评标委员会签署评标报告后，未对评标报告进行复核，发现问题不及时告知评标委员会予以澄清和纠正的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trHeight w:val="1066"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7</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超过规定的比例收取投标保证金、履约保证金或者不按照规定退还投标保证金及银行同期存款利息的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trHeight w:val="1125"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8</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评标委员会的组建及人员组成不符合法定要求的，或者确定、更换评标委员会成员违反规定的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trHeight w:val="1457"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restart"/>
            <w:tcBorders>
              <w:top w:val="single" w:color="auto" w:sz="4" w:space="0"/>
              <w:left w:val="single" w:color="auto" w:sz="4" w:space="0"/>
              <w:bottom w:val="nil"/>
              <w:right w:val="single" w:color="auto" w:sz="4" w:space="0"/>
            </w:tcBorders>
            <w:shd w:val="clear" w:color="auto" w:fill="auto"/>
            <w:textDirection w:val="tbRlV"/>
            <w:vAlign w:val="center"/>
          </w:tcPr>
          <w:p>
            <w:pPr>
              <w:widowControl/>
              <w:spacing w:line="400" w:lineRule="exact"/>
              <w:jc w:val="center"/>
              <w:rPr>
                <w:rFonts w:ascii="宋体" w:hAnsi="宋体" w:eastAsia="宋体" w:cs="宋体"/>
                <w:b/>
                <w:bCs/>
                <w:kern w:val="0"/>
                <w:sz w:val="22"/>
              </w:rPr>
            </w:pPr>
            <w:r>
              <w:rPr>
                <w:rFonts w:hint="eastAsia" w:ascii="宋体" w:hAnsi="宋体" w:eastAsia="宋体" w:cs="宋体"/>
                <w:b/>
                <w:bCs/>
                <w:kern w:val="0"/>
                <w:sz w:val="22"/>
              </w:rPr>
              <w:t>严重不良行为</w:t>
            </w: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29</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在不同媒介发布的同一招标项目的资格预审公告或者招标公告的内容不一致，影响潜在投标人</w:t>
            </w:r>
            <w:r>
              <w:rPr>
                <w:rFonts w:hint="eastAsia" w:cs="宋体" w:asciiTheme="minorEastAsia" w:hAnsiTheme="minorEastAsia"/>
                <w:kern w:val="0"/>
                <w:sz w:val="24"/>
                <w:szCs w:val="24"/>
                <w:lang w:eastAsia="zh-CN"/>
              </w:rPr>
              <w:t>、竞买人</w:t>
            </w:r>
            <w:r>
              <w:rPr>
                <w:rFonts w:hint="eastAsia" w:cs="宋体" w:asciiTheme="minorEastAsia" w:hAnsiTheme="minorEastAsia"/>
                <w:kern w:val="0"/>
                <w:sz w:val="24"/>
                <w:szCs w:val="24"/>
              </w:rPr>
              <w:t>申请资格预审或者投标的</w:t>
            </w:r>
            <w:r>
              <w:rPr>
                <w:rFonts w:hint="eastAsia" w:cs="宋体" w:asciiTheme="minorEastAsia" w:hAnsiTheme="minorEastAsia"/>
                <w:kern w:val="0"/>
                <w:sz w:val="24"/>
                <w:szCs w:val="24"/>
                <w:lang w:eastAsia="zh-CN"/>
              </w:rPr>
              <w:t>、竞买申请的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trHeight w:val="1132"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31</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收到质疑（异议）后，未在规定的时间内予以答复或拒绝答复的；未按照规定协助处理异议或投诉的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trHeight w:val="1403"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32</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向他人透露已获取招标文件</w:t>
            </w:r>
            <w:r>
              <w:rPr>
                <w:rFonts w:hint="eastAsia" w:cs="宋体" w:asciiTheme="minorEastAsia" w:hAnsiTheme="minorEastAsia"/>
                <w:kern w:val="0"/>
                <w:sz w:val="24"/>
                <w:szCs w:val="24"/>
                <w:lang w:eastAsia="zh-CN"/>
              </w:rPr>
              <w:t>、出让文件</w:t>
            </w:r>
            <w:r>
              <w:rPr>
                <w:rFonts w:hint="eastAsia" w:cs="宋体" w:asciiTheme="minorEastAsia" w:hAnsiTheme="minorEastAsia"/>
                <w:kern w:val="0"/>
                <w:sz w:val="24"/>
                <w:szCs w:val="24"/>
              </w:rPr>
              <w:t>潜在投标人</w:t>
            </w:r>
            <w:r>
              <w:rPr>
                <w:rFonts w:hint="eastAsia" w:cs="宋体" w:asciiTheme="minorEastAsia" w:hAnsiTheme="minorEastAsia"/>
                <w:kern w:val="0"/>
                <w:sz w:val="24"/>
                <w:szCs w:val="24"/>
                <w:lang w:eastAsia="zh-CN"/>
              </w:rPr>
              <w:t>竞买人</w:t>
            </w:r>
            <w:r>
              <w:rPr>
                <w:rFonts w:hint="eastAsia" w:cs="宋体" w:asciiTheme="minorEastAsia" w:hAnsiTheme="minorEastAsia"/>
                <w:kern w:val="0"/>
                <w:sz w:val="24"/>
                <w:szCs w:val="24"/>
              </w:rPr>
              <w:t>的名称、数量或者可能影响公平竞争的有关招标投标其他情况的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trHeight w:val="1409"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33</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接受委托编制标底的中介机构参加受托编制标底项目的投标的，或为该项目的投标人编制投标文件的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trHeight w:val="1547"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4</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违反规定，必须进行招标的项目而不招标的，将依法必须进行招标的工程化整为零，或者以其他方式规避招标的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trHeight w:val="1555"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5</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在评标过程中泄露参评人员名单或以打招呼、传递暗示信息等方式影响评标专家，致使评标不能客观公正进行的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trHeight w:val="1264"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6</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已选定中标人或者已签合同或工程已进场施工，后组织项目进场交易的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trHeight w:val="1555"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7</w:t>
            </w:r>
          </w:p>
        </w:tc>
        <w:tc>
          <w:tcPr>
            <w:tcW w:w="5515"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接到投标人</w:t>
            </w:r>
            <w:r>
              <w:rPr>
                <w:rFonts w:hint="eastAsia" w:cs="宋体" w:asciiTheme="minorEastAsia" w:hAnsiTheme="minorEastAsia"/>
                <w:kern w:val="0"/>
                <w:sz w:val="24"/>
                <w:szCs w:val="24"/>
                <w:lang w:eastAsia="zh-CN"/>
              </w:rPr>
              <w:t>、竞买人</w:t>
            </w:r>
            <w:r>
              <w:rPr>
                <w:rFonts w:hint="eastAsia" w:cs="宋体" w:asciiTheme="minorEastAsia" w:hAnsiTheme="minorEastAsia"/>
                <w:kern w:val="0"/>
                <w:sz w:val="24"/>
                <w:szCs w:val="24"/>
              </w:rPr>
              <w:t>等利害关系人异议（质疑）后，敷衍塞责、拖延办理，未在规定时间内进行答复或拒绝答复的；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trHeight w:val="1146"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8</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未按照相关规定或监督意见暂停项目招标活动，擅自组织复核、重新评标或重新招标的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trHeight w:val="1246"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9</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与代理机构、投标人、</w:t>
            </w:r>
            <w:r>
              <w:rPr>
                <w:rFonts w:hint="eastAsia" w:cs="宋体" w:asciiTheme="minorEastAsia" w:hAnsiTheme="minorEastAsia"/>
                <w:kern w:val="0"/>
                <w:sz w:val="24"/>
                <w:szCs w:val="24"/>
                <w:lang w:eastAsia="zh-CN"/>
              </w:rPr>
              <w:t>竞买人、</w:t>
            </w:r>
            <w:r>
              <w:rPr>
                <w:rFonts w:hint="eastAsia" w:cs="宋体" w:asciiTheme="minorEastAsia" w:hAnsiTheme="minorEastAsia"/>
                <w:kern w:val="0"/>
                <w:sz w:val="24"/>
                <w:szCs w:val="24"/>
              </w:rPr>
              <w:t>评标专家串通损害国家利益、社会公共利益或者他人合法权益的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trHeight w:val="1399" w:hRule="atLeast"/>
        </w:trPr>
        <w:tc>
          <w:tcPr>
            <w:tcW w:w="859"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8"/>
                <w:szCs w:val="28"/>
              </w:rPr>
            </w:pPr>
          </w:p>
        </w:tc>
        <w:tc>
          <w:tcPr>
            <w:tcW w:w="863" w:type="dxa"/>
            <w:vMerge w:val="continue"/>
            <w:tcBorders>
              <w:top w:val="nil"/>
              <w:left w:val="single" w:color="auto" w:sz="4" w:space="0"/>
              <w:bottom w:val="nil"/>
              <w:right w:val="single" w:color="auto" w:sz="4" w:space="0"/>
            </w:tcBorders>
            <w:vAlign w:val="center"/>
          </w:tcPr>
          <w:p>
            <w:pPr>
              <w:widowControl/>
              <w:spacing w:line="400" w:lineRule="exact"/>
              <w:rPr>
                <w:rFonts w:ascii="宋体" w:hAnsi="宋体" w:eastAsia="宋体" w:cs="宋体"/>
                <w:b/>
                <w:bCs/>
                <w:kern w:val="0"/>
                <w:sz w:val="22"/>
              </w:rPr>
            </w:pPr>
          </w:p>
        </w:tc>
        <w:tc>
          <w:tcPr>
            <w:tcW w:w="574" w:type="dxa"/>
            <w:tcBorders>
              <w:top w:val="single" w:color="auto" w:sz="4" w:space="0"/>
              <w:left w:val="nil"/>
              <w:bottom w:val="single" w:color="auto" w:sz="4" w:space="0"/>
              <w:right w:val="single" w:color="auto" w:sz="4" w:space="0"/>
            </w:tcBorders>
            <w:shd w:val="clear" w:color="000000" w:fill="FFFFFF"/>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40</w:t>
            </w:r>
          </w:p>
        </w:tc>
        <w:tc>
          <w:tcPr>
            <w:tcW w:w="551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rPr>
                <w:rFonts w:cs="宋体" w:asciiTheme="minorEastAsia" w:hAnsiTheme="minorEastAsia"/>
                <w:kern w:val="0"/>
                <w:sz w:val="24"/>
                <w:szCs w:val="24"/>
              </w:rPr>
            </w:pPr>
            <w:r>
              <w:rPr>
                <w:rFonts w:hint="eastAsia" w:cs="宋体" w:asciiTheme="minorEastAsia" w:hAnsiTheme="minorEastAsia"/>
                <w:kern w:val="0"/>
                <w:sz w:val="24"/>
                <w:szCs w:val="24"/>
              </w:rPr>
              <w:t>与招标代理机构、投标人、评标专家串通及其他非法干预方式，影响评标过程及评标结果的</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trHeight w:val="3713" w:hRule="atLeast"/>
        </w:trPr>
        <w:tc>
          <w:tcPr>
            <w:tcW w:w="92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rPr>
                <w:rFonts w:cs="宋体" w:asciiTheme="minorEastAsia" w:hAnsiTheme="minorEastAsia"/>
                <w:kern w:val="0"/>
                <w:sz w:val="24"/>
                <w:szCs w:val="24"/>
              </w:rPr>
            </w:pPr>
            <w:r>
              <w:rPr>
                <w:rFonts w:hint="eastAsia" w:cs="宋体" w:asciiTheme="minorEastAsia" w:hAnsiTheme="minorEastAsia"/>
                <w:kern w:val="0"/>
                <w:sz w:val="24"/>
                <w:szCs w:val="24"/>
              </w:rPr>
              <w:t>说明：1</w:t>
            </w:r>
            <w:r>
              <w:rPr>
                <w:rFonts w:hint="eastAsia" w:cs="宋体" w:asciiTheme="minorEastAsia" w:hAnsiTheme="minorEastAsia"/>
                <w:kern w:val="0"/>
                <w:sz w:val="24"/>
                <w:szCs w:val="24"/>
                <w:lang w:val="en-US" w:eastAsia="zh-CN"/>
              </w:rPr>
              <w:t>.</w:t>
            </w:r>
            <w:r>
              <w:rPr>
                <w:rFonts w:hint="eastAsia" w:cs="宋体" w:asciiTheme="minorEastAsia" w:hAnsiTheme="minorEastAsia"/>
                <w:kern w:val="0"/>
                <w:sz w:val="24"/>
                <w:szCs w:val="24"/>
              </w:rPr>
              <w:t>本记录评价标准实行动态化管理，通过部门网站和电子交易平台公开发布，并结合政策变化和实际应用情况进行动态调整；2</w:t>
            </w:r>
            <w:r>
              <w:rPr>
                <w:rFonts w:hint="eastAsia" w:cs="宋体" w:asciiTheme="minorEastAsia" w:hAnsiTheme="minorEastAsia"/>
                <w:kern w:val="0"/>
                <w:sz w:val="24"/>
                <w:szCs w:val="24"/>
                <w:lang w:val="en-US" w:eastAsia="zh-CN"/>
              </w:rPr>
              <w:t>.</w:t>
            </w:r>
            <w:r>
              <w:rPr>
                <w:rFonts w:hint="eastAsia" w:cs="宋体" w:asciiTheme="minorEastAsia" w:hAnsiTheme="minorEastAsia"/>
                <w:kern w:val="0"/>
                <w:sz w:val="24"/>
                <w:szCs w:val="24"/>
              </w:rPr>
              <w:t>不良行为涉及多个记录环节的，由最早发现的单位或</w:t>
            </w:r>
            <w:r>
              <w:rPr>
                <w:rFonts w:hint="eastAsia" w:cs="宋体" w:asciiTheme="minorEastAsia" w:hAnsiTheme="minorEastAsia"/>
                <w:kern w:val="0"/>
                <w:sz w:val="24"/>
                <w:szCs w:val="24"/>
                <w:lang w:eastAsia="zh-CN"/>
              </w:rPr>
              <w:t>部</w:t>
            </w:r>
            <w:r>
              <w:rPr>
                <w:rFonts w:hint="eastAsia" w:cs="宋体" w:asciiTheme="minorEastAsia" w:hAnsiTheme="minorEastAsia"/>
                <w:kern w:val="0"/>
                <w:sz w:val="24"/>
                <w:szCs w:val="24"/>
              </w:rPr>
              <w:t>室负责记录评价，不重复扣分。</w:t>
            </w:r>
          </w:p>
        </w:tc>
      </w:tr>
    </w:tbl>
    <w:p>
      <w:pPr>
        <w:spacing w:line="400" w:lineRule="exact"/>
      </w:pPr>
    </w:p>
    <w:p>
      <w:pPr>
        <w:pStyle w:val="2"/>
      </w:pPr>
    </w:p>
    <w:p/>
    <w:p>
      <w:pPr>
        <w:pStyle w:val="2"/>
      </w:pPr>
    </w:p>
    <w:tbl>
      <w:tblPr>
        <w:tblStyle w:val="6"/>
        <w:tblW w:w="9569" w:type="dxa"/>
        <w:jc w:val="center"/>
        <w:tblLayout w:type="autofit"/>
        <w:tblCellMar>
          <w:top w:w="0" w:type="dxa"/>
          <w:left w:w="108" w:type="dxa"/>
          <w:bottom w:w="0" w:type="dxa"/>
          <w:right w:w="108" w:type="dxa"/>
        </w:tblCellMar>
      </w:tblPr>
      <w:tblGrid>
        <w:gridCol w:w="101"/>
        <w:gridCol w:w="749"/>
        <w:gridCol w:w="165"/>
        <w:gridCol w:w="693"/>
        <w:gridCol w:w="171"/>
        <w:gridCol w:w="398"/>
        <w:gridCol w:w="189"/>
        <w:gridCol w:w="5359"/>
        <w:gridCol w:w="294"/>
        <w:gridCol w:w="1145"/>
        <w:gridCol w:w="305"/>
      </w:tblGrid>
      <w:tr>
        <w:tblPrEx>
          <w:tblCellMar>
            <w:top w:w="0" w:type="dxa"/>
            <w:left w:w="108" w:type="dxa"/>
            <w:bottom w:w="0" w:type="dxa"/>
            <w:right w:w="108" w:type="dxa"/>
          </w:tblCellMar>
        </w:tblPrEx>
        <w:trPr>
          <w:gridAfter w:val="1"/>
          <w:wAfter w:w="305" w:type="dxa"/>
          <w:trHeight w:val="1061" w:hRule="atLeast"/>
          <w:jc w:val="center"/>
        </w:trPr>
        <w:tc>
          <w:tcPr>
            <w:tcW w:w="9264" w:type="dxa"/>
            <w:gridSpan w:val="10"/>
            <w:tcBorders>
              <w:top w:val="nil"/>
              <w:left w:val="nil"/>
              <w:bottom w:val="nil"/>
              <w:right w:val="nil"/>
            </w:tcBorders>
            <w:shd w:val="clear" w:color="auto" w:fill="auto"/>
            <w:noWrap/>
            <w:vAlign w:val="center"/>
          </w:tcPr>
          <w:p>
            <w:pPr>
              <w:widowControl/>
              <w:jc w:val="left"/>
              <w:rPr>
                <w:rFonts w:ascii="方正小标宋简体" w:hAnsi="宋体" w:eastAsia="方正小标宋简体" w:cs="宋体"/>
                <w:kern w:val="0"/>
                <w:sz w:val="40"/>
                <w:szCs w:val="40"/>
              </w:rPr>
            </w:pPr>
            <w:r>
              <w:rPr>
                <w:rFonts w:hint="eastAsia" w:ascii="黑体" w:hAnsi="黑体" w:eastAsia="黑体" w:cs="黑体"/>
                <w:kern w:val="0"/>
                <w:sz w:val="32"/>
                <w:szCs w:val="32"/>
              </w:rPr>
              <w:t xml:space="preserve">附件2  </w:t>
            </w:r>
            <w:r>
              <w:rPr>
                <w:rFonts w:hint="eastAsia" w:ascii="方正小标宋简体" w:hAnsi="宋体" w:eastAsia="方正小标宋简体" w:cs="宋体"/>
                <w:kern w:val="0"/>
                <w:sz w:val="40"/>
                <w:szCs w:val="40"/>
              </w:rPr>
              <w:t xml:space="preserve">     </w:t>
            </w:r>
          </w:p>
          <w:p>
            <w:pPr>
              <w:widowControl/>
              <w:spacing w:after="240"/>
              <w:jc w:val="left"/>
              <w:rPr>
                <w:rFonts w:hint="eastAsia" w:ascii="方正小标宋简体" w:hAnsi="宋体" w:eastAsia="方正小标宋简体" w:cs="宋体"/>
                <w:kern w:val="0"/>
                <w:sz w:val="18"/>
                <w:szCs w:val="18"/>
              </w:rPr>
            </w:pPr>
            <w:r>
              <w:rPr>
                <w:rFonts w:hint="eastAsia" w:ascii="方正小标宋简体" w:hAnsi="宋体" w:eastAsia="方正小标宋简体" w:cs="宋体"/>
                <w:kern w:val="0"/>
                <w:sz w:val="40"/>
                <w:szCs w:val="40"/>
              </w:rPr>
              <w:t xml:space="preserve">      </w:t>
            </w:r>
          </w:p>
          <w:p>
            <w:pPr>
              <w:widowControl/>
              <w:spacing w:after="240"/>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lang w:val="en-US" w:eastAsia="zh-CN"/>
              </w:rPr>
              <w:t>中介服务</w:t>
            </w:r>
            <w:r>
              <w:rPr>
                <w:rFonts w:hint="eastAsia" w:ascii="方正小标宋简体" w:hAnsi="宋体" w:eastAsia="方正小标宋简体" w:cs="宋体"/>
                <w:kern w:val="0"/>
                <w:sz w:val="40"/>
                <w:szCs w:val="40"/>
              </w:rPr>
              <w:t>机构信用信息记录评价标准</w:t>
            </w:r>
          </w:p>
        </w:tc>
      </w:tr>
      <w:tr>
        <w:tblPrEx>
          <w:tblCellMar>
            <w:top w:w="0" w:type="dxa"/>
            <w:left w:w="108" w:type="dxa"/>
            <w:bottom w:w="0" w:type="dxa"/>
            <w:right w:w="108" w:type="dxa"/>
          </w:tblCellMar>
        </w:tblPrEx>
        <w:trPr>
          <w:gridAfter w:val="1"/>
          <w:wAfter w:w="305" w:type="dxa"/>
          <w:trHeight w:val="1079" w:hRule="atLeast"/>
          <w:jc w:val="center"/>
        </w:trPr>
        <w:tc>
          <w:tcPr>
            <w:tcW w:w="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t>评价</w:t>
            </w:r>
          </w:p>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内容</w:t>
            </w:r>
          </w:p>
        </w:tc>
        <w:tc>
          <w:tcPr>
            <w:tcW w:w="8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行为类型</w:t>
            </w:r>
          </w:p>
        </w:tc>
        <w:tc>
          <w:tcPr>
            <w:tcW w:w="611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行为描述</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计分规则</w:t>
            </w:r>
          </w:p>
        </w:tc>
      </w:tr>
      <w:tr>
        <w:tblPrEx>
          <w:tblCellMar>
            <w:top w:w="0" w:type="dxa"/>
            <w:left w:w="108" w:type="dxa"/>
            <w:bottom w:w="0" w:type="dxa"/>
            <w:right w:w="108" w:type="dxa"/>
          </w:tblCellMar>
        </w:tblPrEx>
        <w:trPr>
          <w:gridAfter w:val="1"/>
          <w:wAfter w:w="305" w:type="dxa"/>
          <w:trHeight w:val="921" w:hRule="atLeast"/>
          <w:jc w:val="center"/>
        </w:trPr>
        <w:tc>
          <w:tcPr>
            <w:tcW w:w="850" w:type="dxa"/>
            <w:gridSpan w:val="2"/>
            <w:vMerge w:val="restart"/>
            <w:tcBorders>
              <w:top w:val="single" w:color="auto" w:sz="4" w:space="0"/>
              <w:left w:val="single" w:color="auto" w:sz="4" w:space="0"/>
              <w:right w:val="single" w:color="auto" w:sz="4" w:space="0"/>
            </w:tcBorders>
            <w:shd w:val="clear" w:color="auto" w:fill="auto"/>
            <w:textDirection w:val="tbRlV"/>
            <w:vAlign w:val="center"/>
          </w:tcPr>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进场交易行为</w:t>
            </w:r>
          </w:p>
          <w:p>
            <w:pPr>
              <w:widowControl/>
              <w:jc w:val="center"/>
              <w:rPr>
                <w:rFonts w:ascii="宋体" w:hAnsi="宋体" w:eastAsia="宋体" w:cs="宋体"/>
                <w:b/>
                <w:bCs/>
                <w:kern w:val="0"/>
                <w:sz w:val="22"/>
              </w:rPr>
            </w:pPr>
            <w:r>
              <w:rPr>
                <w:rFonts w:hint="eastAsia" w:ascii="宋体" w:hAnsi="宋体" w:eastAsia="宋体" w:cs="宋体"/>
                <w:b/>
                <w:bCs/>
                <w:kern w:val="0"/>
                <w:sz w:val="22"/>
              </w:rPr>
              <w:t>　</w:t>
            </w:r>
          </w:p>
        </w:tc>
        <w:tc>
          <w:tcPr>
            <w:tcW w:w="858" w:type="dxa"/>
            <w:gridSpan w:val="2"/>
            <w:vMerge w:val="restart"/>
            <w:tcBorders>
              <w:top w:val="nil"/>
              <w:left w:val="single" w:color="auto" w:sz="4" w:space="0"/>
              <w:bottom w:val="nil"/>
              <w:right w:val="single" w:color="auto" w:sz="4" w:space="0"/>
            </w:tcBorders>
            <w:shd w:val="clear" w:color="auto" w:fill="auto"/>
            <w:textDirection w:val="tbRlV"/>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一般不良行为</w:t>
            </w: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未按要求向电子交易平台提交进场登记资料</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rPr>
              <w:t>项目注册信息录入不全或有明显错误的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After w:val="1"/>
          <w:wAfter w:w="305" w:type="dxa"/>
          <w:trHeight w:val="1112"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招标公告及招标文件未载明异议（质疑）受理方式、渠道的；未载明投诉受理方式、渠道的；未按要求载明项目具体行政监督部门的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After w:val="1"/>
          <w:wAfter w:w="305" w:type="dxa"/>
          <w:trHeight w:val="973"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招标文件、答疑澄清或补充说明等资料编制不严谨，前后条款互相矛盾的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After w:val="1"/>
          <w:wAfter w:w="305" w:type="dxa"/>
          <w:trHeight w:val="1650"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未在招标文件中载明投标保证金代收事宜或提交方式的；未按规定时限向电子交易平台提交投标保证金退还申请的；要求投标人提交的投标保证金交纳形式违反有关政策规定的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After w:val="1"/>
          <w:wAfter w:w="305" w:type="dxa"/>
          <w:trHeight w:val="1169"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在组织开评标活动中，代理机构从业人员未按时到达开评标现场的；评标过程中无论何种原因提前离场的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After w:val="1"/>
          <w:wAfter w:w="305" w:type="dxa"/>
          <w:trHeight w:val="824"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在开、评标环节，代理人员未按要求</w:t>
            </w:r>
            <w:r>
              <w:rPr>
                <w:rFonts w:hint="eastAsia" w:cs="宋体" w:asciiTheme="minorEastAsia" w:hAnsiTheme="minorEastAsia"/>
                <w:kern w:val="0"/>
                <w:sz w:val="24"/>
                <w:szCs w:val="24"/>
                <w:lang w:eastAsia="zh-CN"/>
              </w:rPr>
              <w:t>着装</w:t>
            </w:r>
            <w:r>
              <w:rPr>
                <w:rFonts w:hint="eastAsia" w:cs="宋体" w:asciiTheme="minorEastAsia" w:hAnsiTheme="minorEastAsia"/>
                <w:kern w:val="0"/>
                <w:sz w:val="24"/>
                <w:szCs w:val="24"/>
              </w:rPr>
              <w:t>挂牌上岗的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After w:val="1"/>
          <w:wAfter w:w="305" w:type="dxa"/>
          <w:trHeight w:val="755"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不遵守场所规定，随意进出电子见证室、</w:t>
            </w:r>
            <w:r>
              <w:rPr>
                <w:rFonts w:hint="eastAsia" w:cs="宋体" w:asciiTheme="minorEastAsia" w:hAnsiTheme="minorEastAsia"/>
                <w:kern w:val="0"/>
                <w:sz w:val="24"/>
                <w:szCs w:val="24"/>
                <w:lang w:eastAsia="zh-CN"/>
              </w:rPr>
              <w:t>监督</w:t>
            </w:r>
            <w:r>
              <w:rPr>
                <w:rFonts w:hint="eastAsia" w:cs="宋体" w:asciiTheme="minorEastAsia" w:hAnsiTheme="minorEastAsia"/>
                <w:kern w:val="0"/>
                <w:sz w:val="24"/>
                <w:szCs w:val="24"/>
              </w:rPr>
              <w:t>室的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After w:val="1"/>
          <w:wAfter w:w="305" w:type="dxa"/>
          <w:trHeight w:val="823"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损坏、遗失开评标区域设备设施，或使用交易场所公用设备从事非开、评标业务的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After w:val="1"/>
          <w:wAfter w:w="305" w:type="dxa"/>
          <w:trHeight w:val="968"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55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无正当理由未在规定时间内发布中标公示或办理中标通知书、交易见（鉴）证书的</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After w:val="1"/>
          <w:wAfter w:w="305" w:type="dxa"/>
          <w:trHeight w:val="1550"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55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对潜在投标人在规定时间内提出的答疑，不及时进行对应性、实质性答复澄清，或使用“按招标文件执行、按有关规定执行”等不明确、不具体的含糊措辞进行答复的</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After w:val="1"/>
          <w:wAfter w:w="305" w:type="dxa"/>
          <w:trHeight w:val="834"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55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未执行招标投标信息发布有关制度规定的；或在电子招投标项目中收取招标文件费用的</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After w:val="1"/>
          <w:wAfter w:w="305" w:type="dxa"/>
          <w:trHeight w:val="843"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代理机构的服务态度恶劣被投标人、招标人、评标专家等服务对象投诉，经查证属实的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After w:val="1"/>
          <w:wAfter w:w="305" w:type="dxa"/>
          <w:trHeight w:val="1396"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restart"/>
            <w:tcBorders>
              <w:top w:val="single" w:color="auto" w:sz="4" w:space="0"/>
              <w:left w:val="single" w:color="auto" w:sz="4" w:space="0"/>
              <w:bottom w:val="nil"/>
              <w:right w:val="single" w:color="auto" w:sz="4" w:space="0"/>
            </w:tcBorders>
            <w:shd w:val="clear" w:color="auto" w:fill="auto"/>
            <w:textDirection w:val="tbRlV"/>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较重不良行为</w:t>
            </w: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不按规定国家标准文本或有关主管部门制定的示范文本、格式编制招标公告及招标文件的，或擅自修改统一规定内容的；或内容不符合全流程电子化工作要求的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847"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因招标代理机构组织不到位，造成开标、评标秩序混乱或无正当理由推迟开、评标的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779"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上传的中标公示、中标结果公告信息有错误或公示、公告内容不完整的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843"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6</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使用非本公司从业人员（以劳动合同和社保证明为据）开展招标代理业务的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685"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7</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对行政主管部门或交易中心下发的文件通知拒不执行的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670"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8</w:t>
            </w:r>
          </w:p>
        </w:tc>
        <w:tc>
          <w:tcPr>
            <w:tcW w:w="55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隐瞒与所代理招标项目的投标人有其他利益关系的</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1350"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19</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在招标公告或招标文件中以不合理的条件限制或者排斥潜在投标人的；对潜在投标人实行歧视待遇的；强制要求投标人组成联合体共同投标的；限制投标人之间公平竞争的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1321"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0</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招标文件（资格预审文件）的发售、澄清、修改的时限，或者确定提交招标文件（资格预审文件）的时限不符合规定</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1024"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1</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未按规定及时提交评标专家需求抽取申请，或者申请中未明确回避条件、专家类别影响评标工作顺利开展的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90"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2</w:t>
            </w:r>
          </w:p>
        </w:tc>
        <w:tc>
          <w:tcPr>
            <w:tcW w:w="55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因代理机构工作失误，引起有效投诉的</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755"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3</w:t>
            </w:r>
          </w:p>
        </w:tc>
        <w:tc>
          <w:tcPr>
            <w:tcW w:w="55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不服从交易中心工作人员协调和管理，扰乱正常交易秩序的</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1098"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4</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评标委员会签署评标报告后，未对评标报告进行复核，发现问题不及时告知评标委员会予以澄清和纠正的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843"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5</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超过规定的比例收取投标保证金、履约保证金或者不按照规定退还投标保证金及银行同期存款利息的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841"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6</w:t>
            </w:r>
          </w:p>
        </w:tc>
        <w:tc>
          <w:tcPr>
            <w:tcW w:w="55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评标委员会的组建及人员组成不符合法定要求的，或者确定、更换评标委员会成员违反规定的</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After w:val="1"/>
          <w:wAfter w:w="305" w:type="dxa"/>
          <w:trHeight w:val="686"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restart"/>
            <w:tcBorders>
              <w:top w:val="single" w:color="auto" w:sz="4" w:space="0"/>
              <w:left w:val="single" w:color="auto" w:sz="4" w:space="0"/>
              <w:bottom w:val="nil"/>
              <w:right w:val="single" w:color="auto" w:sz="4" w:space="0"/>
            </w:tcBorders>
            <w:shd w:val="clear" w:color="auto" w:fill="auto"/>
            <w:textDirection w:val="tbRlV"/>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严重不良行为</w:t>
            </w: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27</w:t>
            </w:r>
          </w:p>
        </w:tc>
        <w:tc>
          <w:tcPr>
            <w:tcW w:w="5548" w:type="dxa"/>
            <w:gridSpan w:val="2"/>
            <w:tcBorders>
              <w:top w:val="nil"/>
              <w:left w:val="nil"/>
              <w:bottom w:val="nil"/>
              <w:right w:val="nil"/>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向有关行业主管部门报送企业基本信息时弄虚作假的</w:t>
            </w:r>
          </w:p>
        </w:tc>
        <w:tc>
          <w:tcPr>
            <w:tcW w:w="1439"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1084"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28</w:t>
            </w:r>
          </w:p>
        </w:tc>
        <w:tc>
          <w:tcPr>
            <w:tcW w:w="55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在不同媒介发布的同一招标项目的资格预审公告或者招标公告的内容不一致，影响潜在投标人申请资格预审或者投标的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896"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29</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收到质疑（异议）后，未在规定的时间内予以答复或拒绝答复的；未按照规定协助处理异议或投诉的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1164"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0</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向他人透露已获取招标文件潜在投标人的名称、数量或者可能影响公平竞争的有关招标投标其他情况的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90"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1</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在所代理的同一招标项目中投标或者代理投标的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907"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2</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接受委托编制标底的中介机构参加受托编制标底项目的投标的，或为该项目的投标人编制投标文件的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1158"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3</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违反规定，必须进行招标的项目而不招标的，将依法必须进行招标的工程化整为零，或者以其他方式规避招标的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790"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4</w:t>
            </w:r>
          </w:p>
        </w:tc>
        <w:tc>
          <w:tcPr>
            <w:tcW w:w="55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不配合行政监督部门依法组织开展调查取证及相关处理工作的</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1547"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5</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在开展业务时，在宣传中弄虚作假的；为承揽业务做出违法违规的承诺，或提出与实施成本和市场价格水平明显不符报价的；故意贬低、恶意诋毁同行企业的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1111"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36</w:t>
            </w:r>
          </w:p>
        </w:tc>
        <w:tc>
          <w:tcPr>
            <w:tcW w:w="55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在评标过程中泄露参评人员名单或以打招呼、传递暗示信息等方式影响评标专家，致使评标不能客观公正进行的</w:t>
            </w:r>
          </w:p>
        </w:tc>
        <w:tc>
          <w:tcPr>
            <w:tcW w:w="143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854"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37</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已选定中标人或者已签合同或工程已进场施工，仍代理项目进场交易</w:t>
            </w:r>
            <w:r>
              <w:rPr>
                <w:rFonts w:hint="eastAsia" w:cs="宋体" w:asciiTheme="minorEastAsia" w:hAnsiTheme="minorEastAsia"/>
                <w:kern w:val="0"/>
                <w:sz w:val="24"/>
                <w:szCs w:val="24"/>
                <w:lang w:eastAsia="zh-CN"/>
              </w:rPr>
              <w:t>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1039"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38</w:t>
            </w:r>
          </w:p>
        </w:tc>
        <w:tc>
          <w:tcPr>
            <w:tcW w:w="5548"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接到投标人等利害关系人异议（质疑）后，敷衍塞责、拖延办理，未在规定时间内进行答复或拒绝答复的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780"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39</w:t>
            </w:r>
          </w:p>
        </w:tc>
        <w:tc>
          <w:tcPr>
            <w:tcW w:w="5548" w:type="dxa"/>
            <w:gridSpan w:val="2"/>
            <w:tcBorders>
              <w:top w:val="nil"/>
              <w:left w:val="nil"/>
              <w:bottom w:val="nil"/>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未按照相关规定或监督意见暂停项目招标活动，擅自组织复核、重新评标或重新招标的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838"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4</w:t>
            </w:r>
            <w:r>
              <w:rPr>
                <w:rFonts w:hint="eastAsia" w:cs="宋体" w:asciiTheme="minorEastAsia" w:hAnsiTheme="minorEastAsia"/>
                <w:kern w:val="0"/>
                <w:sz w:val="24"/>
                <w:szCs w:val="24"/>
                <w:lang w:val="en-US" w:eastAsia="zh-CN"/>
              </w:rPr>
              <w:t>0</w:t>
            </w:r>
          </w:p>
        </w:tc>
        <w:tc>
          <w:tcPr>
            <w:tcW w:w="5548" w:type="dxa"/>
            <w:gridSpan w:val="2"/>
            <w:tcBorders>
              <w:top w:val="single" w:color="auto" w:sz="4" w:space="0"/>
              <w:left w:val="nil"/>
              <w:bottom w:val="nil"/>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与招标人、投标人、评标专家串通损害国家利益、社会公共利益或者他人合法权益的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835"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8"/>
                <w:szCs w:val="28"/>
              </w:rPr>
            </w:pPr>
          </w:p>
        </w:tc>
        <w:tc>
          <w:tcPr>
            <w:tcW w:w="8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4</w:t>
            </w:r>
            <w:r>
              <w:rPr>
                <w:rFonts w:hint="eastAsia" w:cs="宋体" w:asciiTheme="minorEastAsia" w:hAnsiTheme="minorEastAsia"/>
                <w:kern w:val="0"/>
                <w:sz w:val="24"/>
                <w:szCs w:val="24"/>
                <w:lang w:val="en-US" w:eastAsia="zh-CN"/>
              </w:rPr>
              <w:t>1</w:t>
            </w:r>
          </w:p>
        </w:tc>
        <w:tc>
          <w:tcPr>
            <w:tcW w:w="5548" w:type="dxa"/>
            <w:gridSpan w:val="2"/>
            <w:tcBorders>
              <w:top w:val="single" w:color="auto" w:sz="4" w:space="0"/>
              <w:left w:val="nil"/>
              <w:bottom w:val="nil"/>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与招标人、投标人、评标专家串通及其他非法干预方式，影响评标过程及评标结果的</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After w:val="1"/>
          <w:wAfter w:w="305" w:type="dxa"/>
          <w:trHeight w:val="694" w:hRule="atLeast"/>
          <w:jc w:val="center"/>
        </w:trPr>
        <w:tc>
          <w:tcPr>
            <w:tcW w:w="850" w:type="dxa"/>
            <w:gridSpan w:val="2"/>
            <w:vMerge w:val="continue"/>
            <w:tcBorders>
              <w:left w:val="single" w:color="auto" w:sz="4" w:space="0"/>
              <w:right w:val="single" w:color="auto" w:sz="4" w:space="0"/>
            </w:tcBorders>
            <w:shd w:val="clear" w:color="auto" w:fill="auto"/>
            <w:textDirection w:val="tbRlV"/>
            <w:vAlign w:val="center"/>
          </w:tcPr>
          <w:p>
            <w:pPr>
              <w:widowControl/>
              <w:jc w:val="center"/>
              <w:rPr>
                <w:rFonts w:ascii="宋体" w:hAnsi="宋体" w:eastAsia="宋体" w:cs="宋体"/>
                <w:b/>
                <w:bCs/>
                <w:kern w:val="0"/>
                <w:sz w:val="22"/>
              </w:rPr>
            </w:pPr>
          </w:p>
        </w:tc>
        <w:tc>
          <w:tcPr>
            <w:tcW w:w="858" w:type="dxa"/>
            <w:gridSpan w:val="2"/>
            <w:vMerge w:val="restart"/>
            <w:tcBorders>
              <w:top w:val="single" w:color="auto" w:sz="4" w:space="0"/>
              <w:left w:val="single" w:color="auto" w:sz="4" w:space="0"/>
              <w:right w:val="single" w:color="auto" w:sz="4" w:space="0"/>
            </w:tcBorders>
            <w:shd w:val="clear" w:color="000000" w:fill="FFFFFF"/>
            <w:textDirection w:val="tbLrV"/>
            <w:vAlign w:val="center"/>
          </w:tcPr>
          <w:p>
            <w:pPr>
              <w:widowControl/>
              <w:spacing w:line="276" w:lineRule="auto"/>
              <w:ind w:left="113" w:right="113"/>
              <w:jc w:val="center"/>
              <w:rPr>
                <w:rFonts w:ascii="宋体" w:hAnsi="宋体" w:eastAsia="宋体" w:cs="宋体"/>
                <w:b/>
                <w:bCs/>
                <w:kern w:val="0"/>
                <w:sz w:val="22"/>
              </w:rPr>
            </w:pPr>
            <w:r>
              <w:rPr>
                <w:rFonts w:hint="eastAsia" w:ascii="宋体" w:hAnsi="宋体" w:eastAsia="宋体" w:cs="宋体"/>
                <w:b/>
                <w:bCs/>
                <w:kern w:val="0"/>
                <w:sz w:val="22"/>
              </w:rPr>
              <w:t>良好行为</w:t>
            </w:r>
          </w:p>
        </w:tc>
        <w:tc>
          <w:tcPr>
            <w:tcW w:w="56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76" w:lineRule="auto"/>
              <w:jc w:val="center"/>
              <w:rPr>
                <w:rFonts w:hint="eastAsia" w:cs="宋体" w:asciiTheme="minorEastAsia" w:hAnsiTheme="minorEastAsia" w:eastAsiaTheme="minorEastAsia"/>
                <w:kern w:val="0"/>
                <w:sz w:val="24"/>
                <w:szCs w:val="24"/>
                <w:highlight w:val="none"/>
                <w:lang w:eastAsia="zh-CN"/>
              </w:rPr>
            </w:pPr>
            <w:r>
              <w:rPr>
                <w:rFonts w:hint="eastAsia" w:cs="宋体" w:asciiTheme="minorEastAsia" w:hAnsiTheme="minorEastAsia"/>
                <w:kern w:val="0"/>
                <w:sz w:val="24"/>
                <w:szCs w:val="24"/>
                <w:highlight w:val="none"/>
              </w:rPr>
              <w:t>4</w:t>
            </w:r>
            <w:r>
              <w:rPr>
                <w:rFonts w:hint="eastAsia" w:cs="宋体" w:asciiTheme="minorEastAsia" w:hAnsiTheme="minorEastAsia"/>
                <w:kern w:val="0"/>
                <w:sz w:val="24"/>
                <w:szCs w:val="24"/>
                <w:highlight w:val="none"/>
                <w:lang w:val="en-US" w:eastAsia="zh-CN"/>
              </w:rPr>
              <w:t>2</w:t>
            </w:r>
          </w:p>
        </w:tc>
        <w:tc>
          <w:tcPr>
            <w:tcW w:w="554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cs="宋体" w:asciiTheme="minorEastAsia" w:hAnsiTheme="minorEastAsia"/>
                <w:kern w:val="0"/>
                <w:sz w:val="24"/>
                <w:szCs w:val="24"/>
                <w:highlight w:val="none"/>
              </w:rPr>
            </w:pPr>
            <w:r>
              <w:rPr>
                <w:rFonts w:hint="eastAsia" w:cs="宋体" w:asciiTheme="minorEastAsia" w:hAnsiTheme="minorEastAsia"/>
                <w:kern w:val="0"/>
                <w:sz w:val="24"/>
                <w:szCs w:val="24"/>
                <w:highlight w:val="none"/>
              </w:rPr>
              <w:t>评价期内每完成1个（标段）进场代理项目加0.2分</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不设上限</w:t>
            </w:r>
          </w:p>
        </w:tc>
      </w:tr>
      <w:tr>
        <w:tblPrEx>
          <w:tblCellMar>
            <w:top w:w="0" w:type="dxa"/>
            <w:left w:w="108" w:type="dxa"/>
            <w:bottom w:w="0" w:type="dxa"/>
            <w:right w:w="108" w:type="dxa"/>
          </w:tblCellMar>
        </w:tblPrEx>
        <w:trPr>
          <w:gridAfter w:val="1"/>
          <w:wAfter w:w="305" w:type="dxa"/>
          <w:trHeight w:val="779" w:hRule="atLeast"/>
          <w:jc w:val="center"/>
        </w:trPr>
        <w:tc>
          <w:tcPr>
            <w:tcW w:w="850"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2"/>
              </w:rPr>
            </w:pPr>
          </w:p>
        </w:tc>
        <w:tc>
          <w:tcPr>
            <w:tcW w:w="858" w:type="dxa"/>
            <w:gridSpan w:val="2"/>
            <w:vMerge w:val="continue"/>
            <w:tcBorders>
              <w:left w:val="single" w:color="auto" w:sz="4" w:space="0"/>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hint="default" w:cs="宋体" w:asciiTheme="minorEastAsia" w:hAnsiTheme="minorEastAsia" w:eastAsia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43</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cs="宋体" w:asciiTheme="minorEastAsia" w:hAnsiTheme="minorEastAsia" w:eastAsia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积极采用“评定分离定标法”“不见面错位评标”等创新措施开展交易项目，</w:t>
            </w:r>
            <w:r>
              <w:rPr>
                <w:rFonts w:hint="eastAsia" w:cs="宋体" w:asciiTheme="minorEastAsia" w:hAnsiTheme="minorEastAsia"/>
                <w:kern w:val="0"/>
                <w:sz w:val="24"/>
                <w:szCs w:val="24"/>
                <w:highlight w:val="none"/>
              </w:rPr>
              <w:t>每</w:t>
            </w:r>
            <w:r>
              <w:rPr>
                <w:rFonts w:hint="eastAsia" w:cs="宋体" w:asciiTheme="minorEastAsia" w:hAnsiTheme="minorEastAsia"/>
                <w:kern w:val="0"/>
                <w:sz w:val="24"/>
                <w:szCs w:val="24"/>
                <w:highlight w:val="none"/>
                <w:lang w:val="en-US" w:eastAsia="zh-CN"/>
              </w:rPr>
              <w:t>采用</w:t>
            </w:r>
            <w:r>
              <w:rPr>
                <w:rFonts w:hint="eastAsia" w:cs="宋体" w:asciiTheme="minorEastAsia" w:hAnsiTheme="minorEastAsia"/>
                <w:kern w:val="0"/>
                <w:sz w:val="24"/>
                <w:szCs w:val="24"/>
                <w:highlight w:val="none"/>
              </w:rPr>
              <w:t>1个</w:t>
            </w:r>
            <w:r>
              <w:rPr>
                <w:rFonts w:hint="eastAsia" w:cs="宋体" w:asciiTheme="minorEastAsia" w:hAnsiTheme="minorEastAsia"/>
                <w:kern w:val="0"/>
                <w:sz w:val="24"/>
                <w:szCs w:val="24"/>
                <w:highlight w:val="none"/>
                <w:lang w:val="en-US" w:eastAsia="zh-CN"/>
              </w:rPr>
              <w:t>项目</w:t>
            </w:r>
            <w:r>
              <w:rPr>
                <w:rFonts w:hint="eastAsia" w:cs="宋体" w:asciiTheme="minorEastAsia" w:hAnsiTheme="minorEastAsia"/>
                <w:kern w:val="0"/>
                <w:sz w:val="24"/>
                <w:szCs w:val="24"/>
                <w:highlight w:val="none"/>
              </w:rPr>
              <w:t>加</w:t>
            </w:r>
            <w:r>
              <w:rPr>
                <w:rFonts w:hint="eastAsia" w:cs="宋体" w:asciiTheme="minorEastAsia" w:hAnsiTheme="minorEastAsia"/>
                <w:kern w:val="0"/>
                <w:sz w:val="24"/>
                <w:szCs w:val="24"/>
                <w:highlight w:val="none"/>
                <w:lang w:val="en-US" w:eastAsia="zh-CN"/>
              </w:rPr>
              <w:t>1</w:t>
            </w:r>
            <w:r>
              <w:rPr>
                <w:rFonts w:hint="eastAsia" w:cs="宋体" w:asciiTheme="minorEastAsia" w:hAnsiTheme="minorEastAsia"/>
                <w:kern w:val="0"/>
                <w:sz w:val="24"/>
                <w:szCs w:val="24"/>
                <w:highlight w:val="none"/>
              </w:rPr>
              <w:t>分</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cs="宋体" w:asciiTheme="minorEastAsia" w:hAnsiTheme="minorEastAsia" w:eastAsia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年度最高10分</w:t>
            </w:r>
          </w:p>
        </w:tc>
      </w:tr>
      <w:tr>
        <w:tblPrEx>
          <w:tblCellMar>
            <w:top w:w="0" w:type="dxa"/>
            <w:left w:w="108" w:type="dxa"/>
            <w:bottom w:w="0" w:type="dxa"/>
            <w:right w:w="108" w:type="dxa"/>
          </w:tblCellMar>
        </w:tblPrEx>
        <w:trPr>
          <w:gridAfter w:val="1"/>
          <w:wAfter w:w="305" w:type="dxa"/>
          <w:trHeight w:val="1271" w:hRule="atLeast"/>
          <w:jc w:val="center"/>
        </w:trPr>
        <w:tc>
          <w:tcPr>
            <w:tcW w:w="850" w:type="dxa"/>
            <w:gridSpan w:val="2"/>
            <w:vMerge w:val="continue"/>
            <w:tcBorders>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858" w:type="dxa"/>
            <w:gridSpan w:val="2"/>
            <w:vMerge w:val="continue"/>
            <w:tcBorders>
              <w:left w:val="single" w:color="auto" w:sz="4" w:space="0"/>
              <w:bottom w:val="nil"/>
              <w:right w:val="single" w:color="auto" w:sz="4" w:space="0"/>
            </w:tcBorders>
            <w:vAlign w:val="center"/>
          </w:tcPr>
          <w:p>
            <w:pPr>
              <w:widowControl/>
              <w:jc w:val="left"/>
              <w:rPr>
                <w:rFonts w:ascii="宋体" w:hAnsi="宋体" w:eastAsia="宋体" w:cs="宋体"/>
                <w:b/>
                <w:bCs/>
                <w:kern w:val="0"/>
                <w:sz w:val="22"/>
              </w:rPr>
            </w:pPr>
          </w:p>
        </w:tc>
        <w:tc>
          <w:tcPr>
            <w:tcW w:w="569" w:type="dxa"/>
            <w:gridSpan w:val="2"/>
            <w:tcBorders>
              <w:top w:val="nil"/>
              <w:left w:val="nil"/>
              <w:bottom w:val="single" w:color="auto" w:sz="4" w:space="0"/>
              <w:right w:val="single" w:color="auto" w:sz="4" w:space="0"/>
            </w:tcBorders>
            <w:shd w:val="clear" w:color="000000" w:fill="FFFFFF"/>
            <w:vAlign w:val="center"/>
          </w:tcPr>
          <w:p>
            <w:pPr>
              <w:widowControl/>
              <w:spacing w:line="276" w:lineRule="auto"/>
              <w:jc w:val="center"/>
              <w:rPr>
                <w:rFonts w:hint="default"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44</w:t>
            </w:r>
          </w:p>
        </w:tc>
        <w:tc>
          <w:tcPr>
            <w:tcW w:w="5548"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default"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highlight w:val="none"/>
                <w:lang w:val="en-US" w:eastAsia="zh-CN"/>
              </w:rPr>
              <w:t>在公共资源交易领域优化营商环境、创新提升等方面提供典型案例，经省交易中心或行业主管部门评定认可或推广，有认可或推广文件的，省级每次加4分，国家级每次加6分。同一案例不重复加分</w:t>
            </w:r>
          </w:p>
        </w:tc>
        <w:tc>
          <w:tcPr>
            <w:tcW w:w="1439" w:type="dxa"/>
            <w:gridSpan w:val="2"/>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cs="宋体" w:asciiTheme="minorEastAsia" w:hAnsiTheme="minorEastAsia"/>
                <w:kern w:val="0"/>
                <w:sz w:val="24"/>
                <w:szCs w:val="24"/>
                <w:lang w:val="en-US" w:eastAsia="zh-CN"/>
              </w:rPr>
            </w:pPr>
            <w:r>
              <w:rPr>
                <w:rFonts w:hint="eastAsia" w:cs="宋体" w:asciiTheme="minorEastAsia" w:hAnsiTheme="minorEastAsia"/>
                <w:kern w:val="0"/>
                <w:sz w:val="24"/>
                <w:szCs w:val="24"/>
                <w:lang w:val="en-US" w:eastAsia="zh-CN"/>
              </w:rPr>
              <w:t>年度最高10分</w:t>
            </w:r>
          </w:p>
        </w:tc>
      </w:tr>
      <w:tr>
        <w:tblPrEx>
          <w:tblCellMar>
            <w:top w:w="0" w:type="dxa"/>
            <w:left w:w="108" w:type="dxa"/>
            <w:bottom w:w="0" w:type="dxa"/>
            <w:right w:w="108" w:type="dxa"/>
          </w:tblCellMar>
        </w:tblPrEx>
        <w:trPr>
          <w:gridAfter w:val="1"/>
          <w:wAfter w:w="305" w:type="dxa"/>
          <w:trHeight w:val="90" w:hRule="atLeast"/>
          <w:jc w:val="center"/>
        </w:trPr>
        <w:tc>
          <w:tcPr>
            <w:tcW w:w="926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ascii="宋体" w:hAnsi="宋体" w:eastAsia="宋体" w:cs="宋体"/>
                <w:kern w:val="0"/>
                <w:sz w:val="24"/>
                <w:szCs w:val="24"/>
              </w:rPr>
            </w:pPr>
            <w:r>
              <w:rPr>
                <w:rFonts w:hint="eastAsia" w:ascii="宋体" w:hAnsi="宋体" w:eastAsia="宋体" w:cs="宋体"/>
                <w:kern w:val="0"/>
                <w:sz w:val="24"/>
                <w:szCs w:val="24"/>
              </w:rPr>
              <w:t>说明：1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本记录评价标准实行动态化管理，通过部门网站和电子交易平台公开发布，并结合政策变化和实际应用情况进行动态调整；2</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不良行为涉及多个记录环节的，由最早发现的单位或</w:t>
            </w:r>
            <w:r>
              <w:rPr>
                <w:rFonts w:hint="eastAsia" w:ascii="宋体" w:hAnsi="宋体" w:eastAsia="宋体" w:cs="宋体"/>
                <w:kern w:val="0"/>
                <w:sz w:val="24"/>
                <w:szCs w:val="24"/>
                <w:lang w:eastAsia="zh-CN"/>
              </w:rPr>
              <w:t>部</w:t>
            </w:r>
            <w:r>
              <w:rPr>
                <w:rFonts w:hint="eastAsia" w:ascii="宋体" w:hAnsi="宋体" w:eastAsia="宋体" w:cs="宋体"/>
                <w:kern w:val="0"/>
                <w:sz w:val="24"/>
                <w:szCs w:val="24"/>
              </w:rPr>
              <w:t>室负责记录评价，不重复扣分；3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代理机构业绩分值统计以项目完成档案归集为准。</w:t>
            </w:r>
          </w:p>
        </w:tc>
      </w:tr>
      <w:tr>
        <w:tblPrEx>
          <w:tblCellMar>
            <w:top w:w="0" w:type="dxa"/>
            <w:left w:w="108" w:type="dxa"/>
            <w:bottom w:w="0" w:type="dxa"/>
            <w:right w:w="108" w:type="dxa"/>
          </w:tblCellMar>
        </w:tblPrEx>
        <w:trPr>
          <w:gridBefore w:val="1"/>
          <w:wBefore w:w="101" w:type="dxa"/>
          <w:trHeight w:val="1754" w:hRule="atLeast"/>
          <w:jc w:val="center"/>
        </w:trPr>
        <w:tc>
          <w:tcPr>
            <w:tcW w:w="9468" w:type="dxa"/>
            <w:gridSpan w:val="10"/>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方正小标宋简体" w:hAnsi="宋体" w:eastAsia="方正小标宋简体" w:cs="宋体"/>
                <w:kern w:val="0"/>
                <w:sz w:val="15"/>
                <w:szCs w:val="15"/>
              </w:rPr>
            </w:pPr>
            <w:r>
              <w:rPr>
                <w:rFonts w:hint="eastAsia" w:ascii="黑体" w:hAnsi="黑体" w:eastAsia="黑体" w:cs="黑体"/>
                <w:kern w:val="0"/>
                <w:sz w:val="32"/>
                <w:szCs w:val="32"/>
              </w:rPr>
              <w:t xml:space="preserve">附件3 </w:t>
            </w:r>
            <w:r>
              <w:rPr>
                <w:rFonts w:hint="eastAsia" w:ascii="方正小标宋简体" w:hAnsi="宋体" w:eastAsia="方正小标宋简体" w:cs="宋体"/>
                <w:kern w:val="0"/>
                <w:sz w:val="40"/>
                <w:szCs w:val="40"/>
              </w:rPr>
              <w:t xml:space="preserve">  </w:t>
            </w:r>
          </w:p>
          <w:p>
            <w:pPr>
              <w:keepNext w:val="0"/>
              <w:keepLines w:val="0"/>
              <w:pageBreakBefore w:val="0"/>
              <w:widowControl/>
              <w:kinsoku/>
              <w:wordWrap/>
              <w:overflowPunct/>
              <w:topLinePunct w:val="0"/>
              <w:autoSpaceDE/>
              <w:autoSpaceDN/>
              <w:bidi w:val="0"/>
              <w:adjustRightInd/>
              <w:snapToGrid/>
              <w:jc w:val="center"/>
              <w:textAlignment w:val="auto"/>
              <w:rPr>
                <w:rFonts w:hint="eastAsia" w:ascii="方正小标宋简体" w:hAnsi="宋体" w:eastAsia="方正小标宋简体" w:cs="宋体"/>
                <w:kern w:val="0"/>
                <w:sz w:val="15"/>
                <w:szCs w:val="15"/>
              </w:rPr>
            </w:pPr>
            <w:r>
              <w:rPr>
                <w:rFonts w:hint="eastAsia" w:ascii="方正小标宋简体" w:hAnsi="宋体" w:eastAsia="方正小标宋简体" w:cs="宋体"/>
                <w:kern w:val="0"/>
                <w:sz w:val="15"/>
                <w:szCs w:val="15"/>
              </w:rPr>
              <w:t xml:space="preserve"> </w:t>
            </w: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投标人（供应商）</w:t>
            </w:r>
            <w:r>
              <w:rPr>
                <w:rFonts w:hint="eastAsia" w:ascii="方正小标宋简体" w:hAnsi="宋体" w:eastAsia="方正小标宋简体" w:cs="宋体"/>
                <w:kern w:val="0"/>
                <w:sz w:val="40"/>
                <w:szCs w:val="40"/>
                <w:lang w:eastAsia="zh-CN"/>
              </w:rPr>
              <w:t>、竞买人</w:t>
            </w:r>
            <w:r>
              <w:rPr>
                <w:rFonts w:hint="eastAsia" w:ascii="方正小标宋简体" w:hAnsi="宋体" w:eastAsia="方正小标宋简体" w:cs="宋体"/>
                <w:kern w:val="0"/>
                <w:sz w:val="40"/>
                <w:szCs w:val="40"/>
              </w:rPr>
              <w:t>信用信息记录评价标准</w:t>
            </w:r>
          </w:p>
        </w:tc>
      </w:tr>
      <w:tr>
        <w:tblPrEx>
          <w:tblCellMar>
            <w:top w:w="0" w:type="dxa"/>
            <w:left w:w="108" w:type="dxa"/>
            <w:bottom w:w="0" w:type="dxa"/>
            <w:right w:w="108" w:type="dxa"/>
          </w:tblCellMar>
        </w:tblPrEx>
        <w:trPr>
          <w:gridBefore w:val="1"/>
          <w:wBefore w:w="101" w:type="dxa"/>
          <w:trHeight w:val="1097" w:hRule="atLeast"/>
          <w:jc w:val="center"/>
        </w:trPr>
        <w:tc>
          <w:tcPr>
            <w:tcW w:w="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rPr>
              <w:t>评价</w:t>
            </w:r>
          </w:p>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内容</w:t>
            </w:r>
          </w:p>
        </w:tc>
        <w:tc>
          <w:tcPr>
            <w:tcW w:w="8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行为</w:t>
            </w:r>
          </w:p>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类型</w:t>
            </w:r>
          </w:p>
        </w:tc>
        <w:tc>
          <w:tcPr>
            <w:tcW w:w="62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行为描述</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计分规则</w:t>
            </w:r>
          </w:p>
        </w:tc>
      </w:tr>
      <w:tr>
        <w:tblPrEx>
          <w:tblCellMar>
            <w:top w:w="0" w:type="dxa"/>
            <w:left w:w="108" w:type="dxa"/>
            <w:bottom w:w="0" w:type="dxa"/>
            <w:right w:w="108" w:type="dxa"/>
          </w:tblCellMar>
        </w:tblPrEx>
        <w:trPr>
          <w:gridBefore w:val="1"/>
          <w:wBefore w:w="101" w:type="dxa"/>
          <w:trHeight w:val="1080" w:hRule="atLeast"/>
          <w:jc w:val="center"/>
        </w:trPr>
        <w:tc>
          <w:tcPr>
            <w:tcW w:w="914" w:type="dxa"/>
            <w:gridSpan w:val="2"/>
            <w:vMerge w:val="restart"/>
            <w:tcBorders>
              <w:top w:val="single" w:color="auto" w:sz="4" w:space="0"/>
              <w:left w:val="single" w:color="auto" w:sz="4" w:space="0"/>
              <w:bottom w:val="nil"/>
              <w:right w:val="single" w:color="auto" w:sz="4" w:space="0"/>
            </w:tcBorders>
            <w:shd w:val="clear" w:color="auto" w:fill="auto"/>
            <w:textDirection w:val="tbRlV"/>
            <w:vAlign w:val="center"/>
          </w:tcPr>
          <w:p>
            <w:pPr>
              <w:widowControl/>
              <w:spacing w:line="400" w:lineRule="exact"/>
              <w:jc w:val="center"/>
              <w:rPr>
                <w:rFonts w:ascii="宋体" w:hAnsi="宋体" w:eastAsia="宋体" w:cs="宋体"/>
                <w:b/>
                <w:bCs/>
                <w:kern w:val="0"/>
                <w:sz w:val="28"/>
                <w:szCs w:val="28"/>
              </w:rPr>
            </w:pPr>
            <w:r>
              <w:rPr>
                <w:rFonts w:hint="eastAsia" w:ascii="宋体" w:hAnsi="宋体" w:eastAsia="宋体" w:cs="宋体"/>
                <w:b/>
                <w:bCs/>
                <w:kern w:val="0"/>
                <w:sz w:val="28"/>
                <w:szCs w:val="28"/>
              </w:rPr>
              <w:t>进场交易行为</w:t>
            </w:r>
          </w:p>
        </w:tc>
        <w:tc>
          <w:tcPr>
            <w:tcW w:w="864" w:type="dxa"/>
            <w:gridSpan w:val="2"/>
            <w:vMerge w:val="restart"/>
            <w:tcBorders>
              <w:top w:val="nil"/>
              <w:left w:val="single" w:color="auto" w:sz="4" w:space="0"/>
              <w:bottom w:val="nil"/>
              <w:right w:val="single" w:color="auto" w:sz="4" w:space="0"/>
            </w:tcBorders>
            <w:shd w:val="clear" w:color="auto" w:fill="auto"/>
            <w:textDirection w:val="tbRlV"/>
            <w:vAlign w:val="center"/>
          </w:tcPr>
          <w:p>
            <w:pPr>
              <w:widowControl/>
              <w:spacing w:line="400" w:lineRule="exact"/>
              <w:jc w:val="center"/>
              <w:rPr>
                <w:rFonts w:ascii="宋体" w:hAnsi="宋体" w:eastAsia="宋体" w:cs="宋体"/>
                <w:b/>
                <w:bCs/>
                <w:kern w:val="0"/>
                <w:sz w:val="22"/>
              </w:rPr>
            </w:pPr>
            <w:r>
              <w:rPr>
                <w:rFonts w:hint="eastAsia" w:ascii="宋体" w:hAnsi="宋体" w:eastAsia="宋体" w:cs="宋体"/>
                <w:b/>
                <w:bCs/>
                <w:kern w:val="0"/>
                <w:sz w:val="22"/>
              </w:rPr>
              <w:t>一般不良行为</w:t>
            </w: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5653"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未经交易见证管理人员许可随意进入电子见证室、评标区域的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Before w:val="1"/>
          <w:wBefore w:w="101" w:type="dxa"/>
          <w:trHeight w:val="1160"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shd w:val="clear" w:color="auto" w:fill="auto"/>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5653"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不同投标人（供应商）的投标保证金，来源于同一单位（银行贷款除外）或者个人账户</w:t>
            </w:r>
            <w:r>
              <w:rPr>
                <w:rFonts w:hint="eastAsia" w:cs="宋体" w:asciiTheme="minorEastAsia" w:hAnsiTheme="minorEastAsia"/>
                <w:kern w:val="0"/>
                <w:sz w:val="24"/>
                <w:szCs w:val="24"/>
                <w:lang w:eastAsia="zh-CN"/>
              </w:rPr>
              <w:t>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Before w:val="1"/>
          <w:wBefore w:w="101" w:type="dxa"/>
          <w:trHeight w:val="1146"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shd w:val="clear" w:color="auto" w:fill="auto"/>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5653"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参加电子招标采购活动，不在规定时间内及时解密，造成开标活动延迟的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Before w:val="1"/>
          <w:wBefore w:w="101" w:type="dxa"/>
          <w:trHeight w:val="1533"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shd w:val="clear" w:color="auto" w:fill="auto"/>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5653"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为招标采购项目提供整体设计、规范编制或者项目管理、监理、检测等服务的投标人（供应商），依规定不应参与该项目其他招标采购活动而参加的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Before w:val="1"/>
          <w:wBefore w:w="101" w:type="dxa"/>
          <w:trHeight w:val="1113"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shd w:val="clear" w:color="auto" w:fill="auto"/>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5653"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明知其拟任的管理人员或技术人员资质资格等级不符合招标文件要求仍参与投标，影响正常开评标活动的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Before w:val="1"/>
          <w:wBefore w:w="101" w:type="dxa"/>
          <w:trHeight w:val="1539"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shd w:val="clear" w:color="auto" w:fill="auto"/>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5653"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不同投标人（供应商）的法定代表人、委托代理人以及项目负责人、技术负责人、项目总监等项目管理成员在同一个单位缴纳社会保险的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Before w:val="1"/>
          <w:wBefore w:w="101" w:type="dxa"/>
          <w:trHeight w:val="1279"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shd w:val="clear" w:color="auto" w:fill="auto"/>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5653"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中标(成交)通知书发出前，无论以任何理由放弃中标资格的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Before w:val="1"/>
          <w:wBefore w:w="101" w:type="dxa"/>
          <w:trHeight w:val="1551"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shd w:val="clear" w:color="auto" w:fill="auto"/>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5653"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中标(成交)通知书发出后，不按规定提交履约担保、向招标人提出附加条件、不与招标人签订合同的（以招标采购人书面反映并查证属实为准）</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Before w:val="1"/>
          <w:wBefore w:w="101" w:type="dxa"/>
          <w:trHeight w:val="2117"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
                <w:bCs/>
                <w:kern w:val="0"/>
                <w:sz w:val="22"/>
              </w:rPr>
            </w:pPr>
          </w:p>
        </w:tc>
        <w:tc>
          <w:tcPr>
            <w:tcW w:w="5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56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不按招标文件、投标文件以及签订的合同履约的，如：施工、监理企业项目部关键岗位人员未按照已中标的投标文件或合同载明的人员到岗履职的或履职情况不符合要求</w:t>
            </w:r>
            <w:r>
              <w:rPr>
                <w:rFonts w:hint="eastAsia" w:cs="宋体" w:asciiTheme="minorEastAsia" w:hAnsiTheme="minorEastAsia"/>
                <w:kern w:val="0"/>
                <w:sz w:val="24"/>
                <w:szCs w:val="24"/>
                <w:lang w:eastAsia="zh-CN"/>
              </w:rPr>
              <w:t>等</w:t>
            </w:r>
            <w:r>
              <w:rPr>
                <w:rFonts w:hint="eastAsia" w:cs="宋体" w:asciiTheme="minorEastAsia" w:hAnsiTheme="minorEastAsia"/>
                <w:kern w:val="0"/>
                <w:sz w:val="24"/>
                <w:szCs w:val="24"/>
              </w:rPr>
              <w:t>（以招标采购人书面反映并查证属实为准）</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Before w:val="1"/>
          <w:wBefore w:w="101" w:type="dxa"/>
          <w:trHeight w:val="1154"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
                <w:bCs/>
                <w:kern w:val="0"/>
                <w:sz w:val="22"/>
              </w:rPr>
            </w:pPr>
          </w:p>
        </w:tc>
        <w:tc>
          <w:tcPr>
            <w:tcW w:w="5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10</w:t>
            </w:r>
          </w:p>
        </w:tc>
        <w:tc>
          <w:tcPr>
            <w:tcW w:w="56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竞得人未按规定要求缴纳交易服务费，影响后续程序的</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Before w:val="1"/>
          <w:wBefore w:w="101" w:type="dxa"/>
          <w:trHeight w:val="1311"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宋体" w:hAnsi="宋体" w:eastAsia="宋体" w:cs="宋体"/>
                <w:b/>
                <w:bCs/>
                <w:kern w:val="0"/>
                <w:sz w:val="22"/>
              </w:rPr>
            </w:pPr>
          </w:p>
        </w:tc>
        <w:tc>
          <w:tcPr>
            <w:tcW w:w="5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11</w:t>
            </w:r>
          </w:p>
        </w:tc>
        <w:tc>
          <w:tcPr>
            <w:tcW w:w="56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eastAsia="zh-CN"/>
              </w:rPr>
              <w:t>竞得人未按规定要求签订《成交确认书》，影响后续程序的</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每出现一次扣2分</w:t>
            </w:r>
          </w:p>
        </w:tc>
      </w:tr>
      <w:tr>
        <w:tblPrEx>
          <w:tblCellMar>
            <w:top w:w="0" w:type="dxa"/>
            <w:left w:w="108" w:type="dxa"/>
            <w:bottom w:w="0" w:type="dxa"/>
            <w:right w:w="108" w:type="dxa"/>
          </w:tblCellMar>
        </w:tblPrEx>
        <w:trPr>
          <w:gridBefore w:val="1"/>
          <w:wBefore w:w="101" w:type="dxa"/>
          <w:trHeight w:val="1267"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restart"/>
            <w:tcBorders>
              <w:top w:val="single" w:color="auto" w:sz="4" w:space="0"/>
              <w:left w:val="single" w:color="auto" w:sz="4" w:space="0"/>
              <w:bottom w:val="nil"/>
              <w:right w:val="single" w:color="auto" w:sz="4" w:space="0"/>
            </w:tcBorders>
            <w:shd w:val="clear" w:color="auto" w:fill="auto"/>
            <w:textDirection w:val="tbLrV"/>
            <w:vAlign w:val="center"/>
          </w:tcPr>
          <w:p>
            <w:pPr>
              <w:widowControl/>
              <w:spacing w:line="400" w:lineRule="exact"/>
              <w:ind w:left="113" w:right="113"/>
              <w:jc w:val="center"/>
              <w:rPr>
                <w:rFonts w:ascii="宋体" w:hAnsi="宋体" w:eastAsia="宋体" w:cs="宋体"/>
                <w:b/>
                <w:bCs/>
                <w:kern w:val="0"/>
                <w:sz w:val="22"/>
              </w:rPr>
            </w:pPr>
            <w:r>
              <w:rPr>
                <w:rFonts w:hint="eastAsia" w:ascii="宋体" w:hAnsi="宋体" w:eastAsia="宋体" w:cs="宋体"/>
                <w:b/>
                <w:bCs/>
                <w:kern w:val="0"/>
                <w:sz w:val="22"/>
              </w:rPr>
              <w:t>较重不良行为</w:t>
            </w:r>
          </w:p>
        </w:tc>
        <w:tc>
          <w:tcPr>
            <w:tcW w:w="5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p>
        </w:tc>
        <w:tc>
          <w:tcPr>
            <w:tcW w:w="56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项目已选定中标人或已签合同或工程已进场施工，仍参与招标采购活动的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Before w:val="1"/>
          <w:wBefore w:w="101" w:type="dxa"/>
          <w:trHeight w:val="1683"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2"/>
              </w:rPr>
            </w:pPr>
          </w:p>
        </w:tc>
        <w:tc>
          <w:tcPr>
            <w:tcW w:w="5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p>
        </w:tc>
        <w:tc>
          <w:tcPr>
            <w:tcW w:w="56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不同投标人（供应商）制作投标报价文件使用同一个预算编制软件密码锁的、电子投标文件制作机器码相同的、电子投标文件创建标识码相同的</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Before w:val="1"/>
          <w:wBefore w:w="101" w:type="dxa"/>
          <w:trHeight w:val="2826"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p>
        </w:tc>
        <w:tc>
          <w:tcPr>
            <w:tcW w:w="5653" w:type="dxa"/>
            <w:gridSpan w:val="2"/>
            <w:tcBorders>
              <w:top w:val="nil"/>
              <w:left w:val="nil"/>
              <w:bottom w:val="nil"/>
              <w:right w:val="nil"/>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不同投标人（供应商）的投标文件异常一致、报价雷同或呈规律性差异、投标文件混装、投标文件由同一单位或者个人编制、委托同一单位或个人办理投标事宜、投标文件载明的项目管理成员为同一人等投标行为的。不同投标人（供应商）的投标文件中的工程量清单、技术标等实质性内容，明显错误一致的</w:t>
            </w:r>
          </w:p>
        </w:tc>
        <w:tc>
          <w:tcPr>
            <w:tcW w:w="14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Before w:val="1"/>
          <w:wBefore w:w="101" w:type="dxa"/>
          <w:trHeight w:val="1407"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p>
        </w:tc>
        <w:tc>
          <w:tcPr>
            <w:tcW w:w="56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在投标有效期内撤销投标文件，或在中标通知书发出前无正当理由放弃中标资格的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Before w:val="1"/>
          <w:wBefore w:w="101" w:type="dxa"/>
          <w:trHeight w:val="1271"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6</w:t>
            </w:r>
          </w:p>
        </w:tc>
        <w:tc>
          <w:tcPr>
            <w:tcW w:w="5653" w:type="dxa"/>
            <w:gridSpan w:val="2"/>
            <w:tcBorders>
              <w:top w:val="nil"/>
              <w:left w:val="nil"/>
              <w:bottom w:val="nil"/>
              <w:right w:val="nil"/>
            </w:tcBorders>
            <w:shd w:val="clear" w:color="auto" w:fill="auto"/>
            <w:noWrap/>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一年内三次以上提出质疑(异议)或投诉，均查无实据的</w:t>
            </w:r>
          </w:p>
        </w:tc>
        <w:tc>
          <w:tcPr>
            <w:tcW w:w="1450"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Before w:val="1"/>
          <w:wBefore w:w="101" w:type="dxa"/>
          <w:trHeight w:val="1399"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7</w:t>
            </w:r>
          </w:p>
        </w:tc>
        <w:tc>
          <w:tcPr>
            <w:tcW w:w="56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捏造事实、提供虚假材料或者以非法手段取得证明材料进行质疑(异议)、投诉的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每出现一次扣5分</w:t>
            </w:r>
          </w:p>
        </w:tc>
      </w:tr>
      <w:tr>
        <w:tblPrEx>
          <w:tblCellMar>
            <w:top w:w="0" w:type="dxa"/>
            <w:left w:w="108" w:type="dxa"/>
            <w:bottom w:w="0" w:type="dxa"/>
            <w:right w:w="108" w:type="dxa"/>
          </w:tblCellMar>
        </w:tblPrEx>
        <w:trPr>
          <w:gridBefore w:val="1"/>
          <w:wBefore w:w="101" w:type="dxa"/>
          <w:trHeight w:val="1834"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restart"/>
            <w:tcBorders>
              <w:top w:val="single" w:color="auto" w:sz="4" w:space="0"/>
              <w:left w:val="single" w:color="auto" w:sz="4" w:space="0"/>
              <w:bottom w:val="nil"/>
              <w:right w:val="single" w:color="auto" w:sz="4" w:space="0"/>
            </w:tcBorders>
            <w:shd w:val="clear" w:color="auto" w:fill="auto"/>
            <w:textDirection w:val="tbRlV"/>
            <w:vAlign w:val="center"/>
          </w:tcPr>
          <w:p>
            <w:pPr>
              <w:widowControl/>
              <w:spacing w:line="400" w:lineRule="exact"/>
              <w:jc w:val="center"/>
              <w:rPr>
                <w:rFonts w:ascii="宋体" w:hAnsi="宋体" w:eastAsia="宋体" w:cs="宋体"/>
                <w:b/>
                <w:bCs/>
                <w:kern w:val="0"/>
                <w:sz w:val="22"/>
              </w:rPr>
            </w:pPr>
            <w:r>
              <w:rPr>
                <w:rFonts w:hint="eastAsia" w:ascii="宋体" w:hAnsi="宋体" w:eastAsia="宋体" w:cs="宋体"/>
                <w:b/>
                <w:bCs/>
                <w:kern w:val="0"/>
                <w:sz w:val="22"/>
              </w:rPr>
              <w:t>严重不良行为</w:t>
            </w: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8</w:t>
            </w:r>
          </w:p>
        </w:tc>
        <w:tc>
          <w:tcPr>
            <w:tcW w:w="5653"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在投标过程中，弄虚作假、允许他人以本单位名义、以他人名义投标的，未中标或中标(成交)通知书发放前被发现的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Before w:val="1"/>
          <w:wBefore w:w="101" w:type="dxa"/>
          <w:trHeight w:val="1408"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2"/>
              </w:rPr>
            </w:pPr>
          </w:p>
        </w:tc>
        <w:tc>
          <w:tcPr>
            <w:tcW w:w="5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9</w:t>
            </w:r>
          </w:p>
        </w:tc>
        <w:tc>
          <w:tcPr>
            <w:tcW w:w="56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采取不正当手段影响和干扰其他投标人投标以及开评标活动的</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Before w:val="1"/>
          <w:wBefore w:w="101" w:type="dxa"/>
          <w:trHeight w:val="1683"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2"/>
              </w:rPr>
            </w:pPr>
          </w:p>
        </w:tc>
        <w:tc>
          <w:tcPr>
            <w:tcW w:w="58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20</w:t>
            </w:r>
          </w:p>
        </w:tc>
        <w:tc>
          <w:tcPr>
            <w:tcW w:w="56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捏造事实、提供虚假材料或者以非法手段取得证明材料恶意进行质疑(异议)、投诉，影响交易活动正常进行的</w:t>
            </w:r>
          </w:p>
        </w:tc>
        <w:tc>
          <w:tcPr>
            <w:tcW w:w="145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Before w:val="1"/>
          <w:wBefore w:w="101" w:type="dxa"/>
          <w:trHeight w:val="1423"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val="en-US" w:eastAsia="zh-CN"/>
              </w:rPr>
              <w:t>21</w:t>
            </w:r>
          </w:p>
        </w:tc>
        <w:tc>
          <w:tcPr>
            <w:tcW w:w="5653"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不配合行政监督部门依法组织开展调查取证及相关处理工作的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Before w:val="1"/>
          <w:wBefore w:w="101" w:type="dxa"/>
          <w:trHeight w:val="1543"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2</w:t>
            </w:r>
          </w:p>
        </w:tc>
        <w:tc>
          <w:tcPr>
            <w:tcW w:w="5653" w:type="dxa"/>
            <w:gridSpan w:val="2"/>
            <w:tcBorders>
              <w:top w:val="nil"/>
              <w:left w:val="nil"/>
              <w:bottom w:val="nil"/>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与招标人、招标代理机构、评标专家、其他投标人串通损害国家利益、社会公共利益或者他人合法权益的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Before w:val="1"/>
          <w:wBefore w:w="101" w:type="dxa"/>
          <w:trHeight w:val="1409"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3</w:t>
            </w:r>
          </w:p>
        </w:tc>
        <w:tc>
          <w:tcPr>
            <w:tcW w:w="5653" w:type="dxa"/>
            <w:gridSpan w:val="2"/>
            <w:tcBorders>
              <w:top w:val="single" w:color="auto" w:sz="4" w:space="0"/>
              <w:left w:val="nil"/>
              <w:bottom w:val="nil"/>
              <w:right w:val="single" w:color="auto" w:sz="4" w:space="0"/>
            </w:tcBorders>
            <w:shd w:val="clear" w:color="auto" w:fill="auto"/>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与招标人、招标代理机构、评标专家、其他投标人</w:t>
            </w:r>
            <w:r>
              <w:rPr>
                <w:rFonts w:hint="eastAsia" w:cs="宋体" w:asciiTheme="minorEastAsia" w:hAnsiTheme="minorEastAsia"/>
                <w:kern w:val="0"/>
                <w:sz w:val="24"/>
                <w:szCs w:val="24"/>
                <w:lang w:eastAsia="zh-CN"/>
              </w:rPr>
              <w:t>、竞买人</w:t>
            </w:r>
            <w:r>
              <w:rPr>
                <w:rFonts w:hint="eastAsia" w:cs="宋体" w:asciiTheme="minorEastAsia" w:hAnsiTheme="minorEastAsia"/>
                <w:kern w:val="0"/>
                <w:sz w:val="24"/>
                <w:szCs w:val="24"/>
              </w:rPr>
              <w:t>串通及其他非法干预方式，影响评标过程及评标结果的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Before w:val="1"/>
          <w:wBefore w:w="101" w:type="dxa"/>
          <w:trHeight w:val="1401" w:hRule="atLeast"/>
          <w:jc w:val="center"/>
        </w:trPr>
        <w:tc>
          <w:tcPr>
            <w:tcW w:w="91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8"/>
                <w:szCs w:val="28"/>
              </w:rPr>
            </w:pPr>
          </w:p>
        </w:tc>
        <w:tc>
          <w:tcPr>
            <w:tcW w:w="864" w:type="dxa"/>
            <w:gridSpan w:val="2"/>
            <w:vMerge w:val="continue"/>
            <w:tcBorders>
              <w:top w:val="nil"/>
              <w:left w:val="single" w:color="auto" w:sz="4" w:space="0"/>
              <w:bottom w:val="nil"/>
              <w:right w:val="single" w:color="auto" w:sz="4" w:space="0"/>
            </w:tcBorders>
            <w:vAlign w:val="center"/>
          </w:tcPr>
          <w:p>
            <w:pPr>
              <w:widowControl/>
              <w:spacing w:line="400" w:lineRule="exact"/>
              <w:jc w:val="left"/>
              <w:rPr>
                <w:rFonts w:ascii="宋体" w:hAnsi="宋体" w:eastAsia="宋体" w:cs="宋体"/>
                <w:b/>
                <w:bCs/>
                <w:kern w:val="0"/>
                <w:sz w:val="22"/>
              </w:rPr>
            </w:pPr>
          </w:p>
        </w:tc>
        <w:tc>
          <w:tcPr>
            <w:tcW w:w="587" w:type="dxa"/>
            <w:gridSpan w:val="2"/>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rPr>
              <w:t>2</w:t>
            </w:r>
            <w:r>
              <w:rPr>
                <w:rFonts w:hint="eastAsia" w:cs="宋体" w:asciiTheme="minorEastAsia" w:hAnsiTheme="minorEastAsia"/>
                <w:kern w:val="0"/>
                <w:sz w:val="24"/>
                <w:szCs w:val="24"/>
                <w:lang w:val="en-US" w:eastAsia="zh-CN"/>
              </w:rPr>
              <w:t>4</w:t>
            </w:r>
          </w:p>
        </w:tc>
        <w:tc>
          <w:tcPr>
            <w:tcW w:w="56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不服从交易场所秩序管理，辱骂、威胁行政监督人员或者交易中心工作人员的</w:t>
            </w:r>
          </w:p>
        </w:tc>
        <w:tc>
          <w:tcPr>
            <w:tcW w:w="1450"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每出现一次扣10分</w:t>
            </w:r>
          </w:p>
        </w:tc>
      </w:tr>
      <w:tr>
        <w:tblPrEx>
          <w:tblCellMar>
            <w:top w:w="0" w:type="dxa"/>
            <w:left w:w="108" w:type="dxa"/>
            <w:bottom w:w="0" w:type="dxa"/>
            <w:right w:w="108" w:type="dxa"/>
          </w:tblCellMar>
        </w:tblPrEx>
        <w:trPr>
          <w:gridBefore w:val="1"/>
          <w:wBefore w:w="101" w:type="dxa"/>
          <w:trHeight w:val="2051" w:hRule="atLeast"/>
          <w:jc w:val="center"/>
        </w:trPr>
        <w:tc>
          <w:tcPr>
            <w:tcW w:w="946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说明：1</w:t>
            </w:r>
            <w:r>
              <w:rPr>
                <w:rFonts w:hint="eastAsia" w:cs="宋体" w:asciiTheme="minorEastAsia" w:hAnsiTheme="minorEastAsia"/>
                <w:kern w:val="0"/>
                <w:sz w:val="24"/>
                <w:szCs w:val="24"/>
                <w:lang w:val="en-US" w:eastAsia="zh-CN"/>
              </w:rPr>
              <w:t>.</w:t>
            </w:r>
            <w:r>
              <w:rPr>
                <w:rFonts w:hint="eastAsia" w:cs="宋体" w:asciiTheme="minorEastAsia" w:hAnsiTheme="minorEastAsia"/>
                <w:kern w:val="0"/>
                <w:sz w:val="24"/>
                <w:szCs w:val="24"/>
              </w:rPr>
              <w:t>本记录评价标准实行动态化管理，通过部门网站和电子交易平台公开发布，并结合政策变化和实际应用情况进行动态调整；2</w:t>
            </w:r>
            <w:r>
              <w:rPr>
                <w:rFonts w:hint="eastAsia" w:cs="宋体" w:asciiTheme="minorEastAsia" w:hAnsiTheme="minorEastAsia"/>
                <w:kern w:val="0"/>
                <w:sz w:val="24"/>
                <w:szCs w:val="24"/>
                <w:lang w:val="en-US" w:eastAsia="zh-CN"/>
              </w:rPr>
              <w:t>.</w:t>
            </w:r>
            <w:r>
              <w:rPr>
                <w:rFonts w:hint="eastAsia" w:cs="宋体" w:asciiTheme="minorEastAsia" w:hAnsiTheme="minorEastAsia"/>
                <w:kern w:val="0"/>
                <w:sz w:val="24"/>
                <w:szCs w:val="24"/>
              </w:rPr>
              <w:t>不良行为涉及多个记录环节的，由最早发现的单位或</w:t>
            </w:r>
            <w:r>
              <w:rPr>
                <w:rFonts w:hint="eastAsia" w:cs="宋体" w:asciiTheme="minorEastAsia" w:hAnsiTheme="minorEastAsia"/>
                <w:kern w:val="0"/>
                <w:sz w:val="24"/>
                <w:szCs w:val="24"/>
                <w:lang w:eastAsia="zh-CN"/>
              </w:rPr>
              <w:t>部</w:t>
            </w:r>
            <w:r>
              <w:rPr>
                <w:rFonts w:hint="eastAsia" w:cs="宋体" w:asciiTheme="minorEastAsia" w:hAnsiTheme="minorEastAsia"/>
                <w:kern w:val="0"/>
                <w:sz w:val="24"/>
                <w:szCs w:val="24"/>
              </w:rPr>
              <w:t>室负责记录评价，不重复扣分。</w:t>
            </w:r>
          </w:p>
        </w:tc>
      </w:tr>
    </w:tbl>
    <w:p>
      <w:pPr>
        <w:spacing w:beforeLines="100" w:afterLines="100"/>
        <w:rPr>
          <w:rFonts w:ascii="仿宋" w:hAnsi="仿宋" w:eastAsia="仿宋"/>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266DAF-2F63-4D2A-ABEC-B0E8A35672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7801418C-94B9-4CDB-B484-6F4B02B7060A}"/>
  </w:font>
  <w:font w:name="方正小标宋简体">
    <w:panose1 w:val="02000000000000000000"/>
    <w:charset w:val="86"/>
    <w:family w:val="auto"/>
    <w:pitch w:val="default"/>
    <w:sig w:usb0="00000001" w:usb1="08000000" w:usb2="00000000" w:usb3="00000000" w:csb0="00040000" w:csb1="00000000"/>
    <w:embedRegular r:id="rId3" w:fontKey="{F03DCE32-5610-41CA-B5ED-D5AD1FFD7C38}"/>
  </w:font>
  <w:font w:name="仿宋">
    <w:panose1 w:val="02010609060101010101"/>
    <w:charset w:val="86"/>
    <w:family w:val="modern"/>
    <w:pitch w:val="default"/>
    <w:sig w:usb0="800002BF" w:usb1="38CF7CFA" w:usb2="00000016" w:usb3="00000000" w:csb0="00040001" w:csb1="00000000"/>
    <w:embedRegular r:id="rId4" w:fontKey="{56AD6630-E5D4-498E-AD86-69E4AED53FB7}"/>
  </w:font>
  <w:font w:name="仿宋_GB2312">
    <w:altName w:val="仿宋"/>
    <w:panose1 w:val="02010609030101010101"/>
    <w:charset w:val="86"/>
    <w:family w:val="auto"/>
    <w:pitch w:val="default"/>
    <w:sig w:usb0="00000000" w:usb1="00000000" w:usb2="00000000" w:usb3="00000000" w:csb0="00040000" w:csb1="00000000"/>
    <w:embedRegular r:id="rId5" w:fontKey="{EDAC4E36-57EA-41C2-992A-339D52103B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YzE3N2I4MjI3ODU4M2IwOTI5ZGI0YzQ5N2JmYTYifQ=="/>
  </w:docVars>
  <w:rsids>
    <w:rsidRoot w:val="005E6654"/>
    <w:rsid w:val="000C35CB"/>
    <w:rsid w:val="00472D0B"/>
    <w:rsid w:val="004D55BA"/>
    <w:rsid w:val="004E7DB9"/>
    <w:rsid w:val="005E6654"/>
    <w:rsid w:val="0062513C"/>
    <w:rsid w:val="00684490"/>
    <w:rsid w:val="008912AA"/>
    <w:rsid w:val="00916F2F"/>
    <w:rsid w:val="00930FE6"/>
    <w:rsid w:val="00AD5C10"/>
    <w:rsid w:val="00B72462"/>
    <w:rsid w:val="00C03B58"/>
    <w:rsid w:val="00CB361E"/>
    <w:rsid w:val="00CD019A"/>
    <w:rsid w:val="00D634AA"/>
    <w:rsid w:val="00DF62CE"/>
    <w:rsid w:val="00E230E7"/>
    <w:rsid w:val="00F11197"/>
    <w:rsid w:val="00F66A82"/>
    <w:rsid w:val="08DF3D86"/>
    <w:rsid w:val="094130F0"/>
    <w:rsid w:val="12ED20AC"/>
    <w:rsid w:val="143811B7"/>
    <w:rsid w:val="16E01DBD"/>
    <w:rsid w:val="17620A24"/>
    <w:rsid w:val="192D5093"/>
    <w:rsid w:val="1A76151C"/>
    <w:rsid w:val="1BD21EF1"/>
    <w:rsid w:val="1C0E2F29"/>
    <w:rsid w:val="1D336BD7"/>
    <w:rsid w:val="234465AD"/>
    <w:rsid w:val="23C860B3"/>
    <w:rsid w:val="27603DD1"/>
    <w:rsid w:val="2B4A6DEC"/>
    <w:rsid w:val="2F7E7F6E"/>
    <w:rsid w:val="37892D01"/>
    <w:rsid w:val="37E42938"/>
    <w:rsid w:val="3FF91307"/>
    <w:rsid w:val="40560EC4"/>
    <w:rsid w:val="40C85EF9"/>
    <w:rsid w:val="451D333D"/>
    <w:rsid w:val="46A03D5C"/>
    <w:rsid w:val="47A9364D"/>
    <w:rsid w:val="493E459E"/>
    <w:rsid w:val="49E50EBD"/>
    <w:rsid w:val="4C0E2996"/>
    <w:rsid w:val="4CDC05EC"/>
    <w:rsid w:val="56496817"/>
    <w:rsid w:val="5A5832B4"/>
    <w:rsid w:val="5A804C56"/>
    <w:rsid w:val="5B2962D7"/>
    <w:rsid w:val="5DE10D61"/>
    <w:rsid w:val="642A59F3"/>
    <w:rsid w:val="655B5E54"/>
    <w:rsid w:val="6A4D3EBE"/>
    <w:rsid w:val="6ABC311D"/>
    <w:rsid w:val="740578E3"/>
    <w:rsid w:val="77A56863"/>
    <w:rsid w:val="7A41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autoRedefine/>
    <w:qFormat/>
    <w:uiPriority w:val="0"/>
    <w:pPr>
      <w:ind w:left="3360"/>
      <w:jc w:val="left"/>
    </w:pPr>
    <w:rPr>
      <w:rFonts w:ascii="Times New Roman" w:hAnsi="Times New Roman"/>
      <w:szCs w:val="20"/>
    </w:rPr>
  </w:style>
  <w:style w:type="paragraph" w:styleId="3">
    <w:name w:val="Date"/>
    <w:basedOn w:val="1"/>
    <w:next w:val="1"/>
    <w:link w:val="9"/>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日期 Char"/>
    <w:basedOn w:val="8"/>
    <w:link w:val="3"/>
    <w:semiHidden/>
    <w:qFormat/>
    <w:uiPriority w:val="99"/>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76579-0B7C-4649-99D6-B2AD76F77C1F}">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541</Words>
  <Characters>3084</Characters>
  <Lines>25</Lines>
  <Paragraphs>7</Paragraphs>
  <TotalTime>24</TotalTime>
  <ScaleCrop>false</ScaleCrop>
  <LinksUpToDate>false</LinksUpToDate>
  <CharactersWithSpaces>3618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2023-11-17T06:07:00Z</dcterms:created>
  <dc:creator>user01</dc:creator>
  <cp:lastModifiedBy>一生兄弟不孤单</cp:lastModifiedBy>
  <cp:lastPrinted>2024-03-21T09:31:00Z</cp:lastPrinted>
  <dcterms:modified xsi:type="dcterms:W3CDTF">2024-05-15T08:10:38Z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9F3CF61275BA47B6A7D97359E3F17D00_13</vt:lpwstr>
  </property>
</Properties>
</file>