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8"/>
          <w:szCs w:val="28"/>
        </w:rPr>
      </w:pPr>
    </w:p>
    <w:p>
      <w:pPr>
        <w:rPr>
          <w:rFonts w:hint="eastAsia" w:ascii="黑体" w:eastAsia="黑体"/>
          <w:sz w:val="28"/>
          <w:szCs w:val="28"/>
        </w:rPr>
      </w:pPr>
    </w:p>
    <w:p>
      <w:pPr>
        <w:widowControl/>
        <w:tabs>
          <w:tab w:val="left" w:pos="1333"/>
          <w:tab w:val="left" w:pos="2573"/>
          <w:tab w:val="left" w:pos="5333"/>
          <w:tab w:val="left" w:pos="10773"/>
        </w:tabs>
        <w:ind w:left="93"/>
        <w:jc w:val="left"/>
        <w:rPr>
          <w:rFonts w:hint="eastAsia" w:ascii="黑体" w:hAnsi="宋体" w:eastAsia="黑体" w:cs="宋体"/>
          <w:kern w:val="0"/>
          <w:sz w:val="32"/>
          <w:szCs w:val="32"/>
        </w:rPr>
      </w:pPr>
      <w:r>
        <w:rPr>
          <w:rFonts w:hint="eastAsia" w:ascii="黑体" w:hAnsi="宋体" w:eastAsia="黑体" w:cs="宋体"/>
          <w:kern w:val="0"/>
          <w:sz w:val="32"/>
          <w:szCs w:val="32"/>
        </w:rPr>
        <w:t>附件1</w:t>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p>
    <w:p>
      <w:pPr>
        <w:widowControl/>
        <w:ind w:left="93"/>
        <w:jc w:val="center"/>
        <w:rPr>
          <w:rFonts w:hint="eastAsia" w:ascii="方正小标宋_GBK" w:hAnsi="宋体" w:eastAsia="方正小标宋_GBK" w:cs="宋体"/>
          <w:color w:val="333333"/>
          <w:kern w:val="0"/>
          <w:sz w:val="36"/>
          <w:szCs w:val="36"/>
        </w:rPr>
      </w:pPr>
      <w:r>
        <w:rPr>
          <w:rFonts w:hint="eastAsia" w:ascii="方正小标宋_GBK" w:hAnsi="宋体" w:eastAsia="方正小标宋_GBK" w:cs="宋体"/>
          <w:color w:val="333333"/>
          <w:kern w:val="0"/>
          <w:sz w:val="36"/>
          <w:szCs w:val="36"/>
        </w:rPr>
        <w:t>湖南省政府采购评审专家劳务报酬标准</w:t>
      </w:r>
    </w:p>
    <w:tbl>
      <w:tblPr>
        <w:tblStyle w:val="5"/>
        <w:tblW w:w="14020" w:type="dxa"/>
        <w:jc w:val="center"/>
        <w:tblInd w:w="0" w:type="dxa"/>
        <w:tblLayout w:type="fixed"/>
        <w:tblCellMar>
          <w:top w:w="0" w:type="dxa"/>
          <w:left w:w="108" w:type="dxa"/>
          <w:bottom w:w="0" w:type="dxa"/>
          <w:right w:w="108" w:type="dxa"/>
        </w:tblCellMar>
      </w:tblPr>
      <w:tblGrid>
        <w:gridCol w:w="1240"/>
        <w:gridCol w:w="1240"/>
        <w:gridCol w:w="2760"/>
        <w:gridCol w:w="5440"/>
        <w:gridCol w:w="3340"/>
      </w:tblGrid>
      <w:tr>
        <w:tblPrEx>
          <w:tblLayout w:type="fixed"/>
          <w:tblCellMar>
            <w:top w:w="0" w:type="dxa"/>
            <w:left w:w="108" w:type="dxa"/>
            <w:bottom w:w="0" w:type="dxa"/>
            <w:right w:w="108" w:type="dxa"/>
          </w:tblCellMar>
        </w:tblPrEx>
        <w:trPr>
          <w:trHeight w:val="454"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类别</w:t>
            </w:r>
          </w:p>
        </w:tc>
        <w:tc>
          <w:tcPr>
            <w:tcW w:w="4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黑体"/>
                <w:kern w:val="0"/>
                <w:szCs w:val="21"/>
              </w:rPr>
            </w:pPr>
            <w:r>
              <w:rPr>
                <w:rFonts w:eastAsia="黑体"/>
                <w:kern w:val="0"/>
                <w:szCs w:val="21"/>
              </w:rPr>
              <w:t>适用范围</w:t>
            </w:r>
          </w:p>
        </w:tc>
        <w:tc>
          <w:tcPr>
            <w:tcW w:w="5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标准（税后）</w:t>
            </w:r>
          </w:p>
        </w:tc>
        <w:tc>
          <w:tcPr>
            <w:tcW w:w="3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备注</w:t>
            </w:r>
          </w:p>
        </w:tc>
      </w:tr>
      <w:tr>
        <w:tblPrEx>
          <w:tblLayout w:type="fixed"/>
          <w:tblCellMar>
            <w:top w:w="0" w:type="dxa"/>
            <w:left w:w="108" w:type="dxa"/>
            <w:bottom w:w="0" w:type="dxa"/>
            <w:right w:w="108" w:type="dxa"/>
          </w:tblCellMar>
        </w:tblPrEx>
        <w:trPr>
          <w:trHeight w:val="454" w:hRule="atLeast"/>
          <w:jc w:val="center"/>
        </w:trPr>
        <w:tc>
          <w:tcPr>
            <w:tcW w:w="140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一、同城评审</w:t>
            </w:r>
          </w:p>
        </w:tc>
      </w:tr>
      <w:tr>
        <w:tblPrEx>
          <w:tblLayout w:type="fixed"/>
          <w:tblCellMar>
            <w:top w:w="0" w:type="dxa"/>
            <w:left w:w="108" w:type="dxa"/>
            <w:bottom w:w="0" w:type="dxa"/>
            <w:right w:w="108" w:type="dxa"/>
          </w:tblCellMar>
        </w:tblPrEx>
        <w:trPr>
          <w:trHeight w:val="454" w:hRule="atLeast"/>
          <w:jc w:val="center"/>
        </w:trPr>
        <w:tc>
          <w:tcPr>
            <w:tcW w:w="1240" w:type="dxa"/>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评审费</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同城</w:t>
            </w:r>
          </w:p>
        </w:tc>
        <w:tc>
          <w:tcPr>
            <w:tcW w:w="2760" w:type="dxa"/>
            <w:tcBorders>
              <w:top w:val="nil"/>
              <w:left w:val="nil"/>
              <w:bottom w:val="single" w:color="auto" w:sz="4" w:space="0"/>
              <w:right w:val="single" w:color="auto" w:sz="4" w:space="0"/>
            </w:tcBorders>
            <w:shd w:val="clear" w:color="auto" w:fill="auto"/>
            <w:vAlign w:val="center"/>
          </w:tcPr>
          <w:p>
            <w:pPr>
              <w:widowControl/>
              <w:rPr>
                <w:rFonts w:eastAsia="仿宋_GB2312"/>
                <w:kern w:val="0"/>
                <w:szCs w:val="21"/>
              </w:rPr>
            </w:pPr>
            <w:r>
              <w:rPr>
                <w:rFonts w:eastAsia="仿宋_GB2312"/>
                <w:kern w:val="0"/>
                <w:szCs w:val="21"/>
              </w:rPr>
              <w:t>正常评审项目及进入评审环节后终止的</w:t>
            </w: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评审时间不超过3小时（含）的，400元/人，超过3个小时的，不足0.5小时的按0.5小时计算，增加50元/人；超过0.5小时不足1小时的按1小时计算，每1小时增加100元/人。</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各市州县可根据当地实际，以本标准为上限，适当进行调整</w:t>
            </w:r>
          </w:p>
        </w:tc>
      </w:tr>
      <w:tr>
        <w:tblPrEx>
          <w:tblLayout w:type="fixed"/>
          <w:tblCellMar>
            <w:top w:w="0" w:type="dxa"/>
            <w:left w:w="108" w:type="dxa"/>
            <w:bottom w:w="0" w:type="dxa"/>
            <w:right w:w="108" w:type="dxa"/>
          </w:tblCellMar>
        </w:tblPrEx>
        <w:trPr>
          <w:trHeight w:val="454"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误工补贴</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仿宋_GB2312"/>
                <w:kern w:val="0"/>
                <w:szCs w:val="21"/>
              </w:rPr>
            </w:pPr>
          </w:p>
        </w:tc>
        <w:tc>
          <w:tcPr>
            <w:tcW w:w="2760" w:type="dxa"/>
            <w:tcBorders>
              <w:top w:val="nil"/>
              <w:left w:val="nil"/>
              <w:bottom w:val="single" w:color="auto" w:sz="4" w:space="0"/>
              <w:right w:val="single" w:color="auto" w:sz="4" w:space="0"/>
            </w:tcBorders>
            <w:shd w:val="clear" w:color="auto" w:fill="auto"/>
            <w:vAlign w:val="center"/>
          </w:tcPr>
          <w:p>
            <w:pPr>
              <w:widowControl/>
              <w:rPr>
                <w:rFonts w:eastAsia="仿宋_GB2312"/>
                <w:kern w:val="0"/>
                <w:szCs w:val="21"/>
              </w:rPr>
            </w:pPr>
            <w:r>
              <w:rPr>
                <w:rFonts w:eastAsia="仿宋_GB2312"/>
                <w:kern w:val="0"/>
                <w:szCs w:val="21"/>
              </w:rPr>
              <w:t>评审专家到达现场后，因回避制度或尚未对采购项目进行评审的</w:t>
            </w: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200元/人。</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14020" w:type="dxa"/>
            <w:gridSpan w:val="5"/>
            <w:tcBorders>
              <w:top w:val="single" w:color="auto" w:sz="4" w:space="0"/>
              <w:left w:val="single" w:color="auto" w:sz="4" w:space="0"/>
              <w:bottom w:val="nil"/>
              <w:right w:val="single" w:color="000000" w:sz="4" w:space="0"/>
            </w:tcBorders>
            <w:shd w:val="clear" w:color="auto" w:fill="auto"/>
            <w:vAlign w:val="center"/>
          </w:tcPr>
          <w:p>
            <w:pPr>
              <w:widowControl/>
              <w:jc w:val="center"/>
              <w:rPr>
                <w:rFonts w:eastAsia="仿宋_GB2312"/>
                <w:kern w:val="0"/>
                <w:szCs w:val="21"/>
              </w:rPr>
            </w:pPr>
            <w:r>
              <w:rPr>
                <w:rFonts w:eastAsia="仿宋_GB2312"/>
                <w:kern w:val="0"/>
                <w:szCs w:val="21"/>
              </w:rPr>
              <w:t>二、异地评审</w:t>
            </w:r>
          </w:p>
        </w:tc>
      </w:tr>
      <w:tr>
        <w:tblPrEx>
          <w:tblLayout w:type="fixed"/>
          <w:tblCellMar>
            <w:top w:w="0" w:type="dxa"/>
            <w:left w:w="108" w:type="dxa"/>
            <w:bottom w:w="0" w:type="dxa"/>
            <w:right w:w="108" w:type="dxa"/>
          </w:tblCellMar>
        </w:tblPrEx>
        <w:trPr>
          <w:trHeight w:val="454" w:hRule="atLeast"/>
          <w:jc w:val="center"/>
        </w:trPr>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评审费</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本省异地评审</w:t>
            </w:r>
          </w:p>
        </w:tc>
        <w:tc>
          <w:tcPr>
            <w:tcW w:w="2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kern w:val="0"/>
                <w:szCs w:val="21"/>
              </w:rPr>
            </w:pPr>
            <w:r>
              <w:rPr>
                <w:rFonts w:eastAsia="仿宋_GB2312"/>
                <w:kern w:val="0"/>
                <w:szCs w:val="21"/>
              </w:rPr>
              <w:t>正常评审项目及进入评审环节后终止的</w:t>
            </w:r>
          </w:p>
        </w:tc>
        <w:tc>
          <w:tcPr>
            <w:tcW w:w="54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300-600元/人、半天</w:t>
            </w:r>
          </w:p>
        </w:tc>
        <w:tc>
          <w:tcPr>
            <w:tcW w:w="3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具体金额双方协商确定</w:t>
            </w:r>
          </w:p>
        </w:tc>
      </w:tr>
      <w:tr>
        <w:tblPrEx>
          <w:tblLayout w:type="fixed"/>
          <w:tblCellMar>
            <w:top w:w="0" w:type="dxa"/>
            <w:left w:w="108" w:type="dxa"/>
            <w:bottom w:w="0" w:type="dxa"/>
            <w:right w:w="108" w:type="dxa"/>
          </w:tblCellMar>
        </w:tblPrEx>
        <w:trPr>
          <w:trHeight w:val="454" w:hRule="atLeast"/>
          <w:jc w:val="center"/>
        </w:trPr>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Cs w:val="21"/>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聘请外省专家</w:t>
            </w:r>
          </w:p>
        </w:tc>
        <w:tc>
          <w:tcPr>
            <w:tcW w:w="2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_GB2312"/>
                <w:kern w:val="0"/>
                <w:szCs w:val="21"/>
              </w:rPr>
            </w:pP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副高级500-800元/人、半天；正高级1000-1500元/人、半天；院士、全国著名专家2000元/人、半天</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具体金额双方协商确定</w:t>
            </w:r>
          </w:p>
        </w:tc>
      </w:tr>
      <w:tr>
        <w:tblPrEx>
          <w:tblLayout w:type="fixed"/>
          <w:tblCellMar>
            <w:top w:w="0" w:type="dxa"/>
            <w:left w:w="108" w:type="dxa"/>
            <w:bottom w:w="0" w:type="dxa"/>
            <w:right w:w="108" w:type="dxa"/>
          </w:tblCellMar>
        </w:tblPrEx>
        <w:trPr>
          <w:trHeight w:val="454"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误工补贴</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本省异地评审</w:t>
            </w:r>
          </w:p>
        </w:tc>
        <w:tc>
          <w:tcPr>
            <w:tcW w:w="2760" w:type="dxa"/>
            <w:tcBorders>
              <w:top w:val="nil"/>
              <w:left w:val="nil"/>
              <w:bottom w:val="single" w:color="auto" w:sz="4" w:space="0"/>
              <w:right w:val="single" w:color="auto" w:sz="4" w:space="0"/>
            </w:tcBorders>
            <w:shd w:val="clear" w:color="auto" w:fill="auto"/>
            <w:vAlign w:val="center"/>
          </w:tcPr>
          <w:p>
            <w:pPr>
              <w:widowControl/>
              <w:rPr>
                <w:rFonts w:eastAsia="仿宋_GB2312"/>
                <w:kern w:val="0"/>
                <w:szCs w:val="21"/>
              </w:rPr>
            </w:pPr>
            <w:r>
              <w:rPr>
                <w:rFonts w:eastAsia="仿宋_GB2312"/>
                <w:kern w:val="0"/>
                <w:szCs w:val="21"/>
              </w:rPr>
              <w:t>评审专家到达现场后，因回避制度或尚未对采购项目进行评审的</w:t>
            </w: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200-300元/人。</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使用人根据实际情况确定</w:t>
            </w:r>
          </w:p>
        </w:tc>
      </w:tr>
      <w:tr>
        <w:tblPrEx>
          <w:tblLayout w:type="fixed"/>
          <w:tblCellMar>
            <w:top w:w="0" w:type="dxa"/>
            <w:left w:w="108" w:type="dxa"/>
            <w:bottom w:w="0" w:type="dxa"/>
            <w:right w:w="108" w:type="dxa"/>
          </w:tblCellMar>
        </w:tblPrEx>
        <w:trPr>
          <w:trHeight w:val="454"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仿宋_GB2312"/>
                <w:kern w:val="0"/>
                <w:szCs w:val="21"/>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聘请外省专家</w:t>
            </w:r>
          </w:p>
        </w:tc>
        <w:tc>
          <w:tcPr>
            <w:tcW w:w="2760" w:type="dxa"/>
            <w:tcBorders>
              <w:top w:val="nil"/>
              <w:left w:val="nil"/>
              <w:bottom w:val="single" w:color="auto" w:sz="4" w:space="0"/>
              <w:right w:val="single" w:color="auto" w:sz="4" w:space="0"/>
            </w:tcBorders>
            <w:shd w:val="clear" w:color="auto" w:fill="auto"/>
            <w:vAlign w:val="center"/>
          </w:tcPr>
          <w:p>
            <w:pPr>
              <w:widowControl/>
              <w:rPr>
                <w:rFonts w:eastAsia="仿宋_GB2312"/>
                <w:kern w:val="0"/>
                <w:szCs w:val="21"/>
              </w:rPr>
            </w:pPr>
            <w:r>
              <w:rPr>
                <w:rFonts w:eastAsia="仿宋_GB2312"/>
                <w:kern w:val="0"/>
                <w:szCs w:val="21"/>
              </w:rPr>
              <w:t>评审专家到达现场后，因回避制度或尚未对采购项目进行评审的</w:t>
            </w: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500元/人。</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差旅费</w:t>
            </w:r>
          </w:p>
        </w:tc>
        <w:tc>
          <w:tcPr>
            <w:tcW w:w="4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333333"/>
                <w:kern w:val="0"/>
                <w:szCs w:val="21"/>
              </w:rPr>
            </w:pPr>
            <w:r>
              <w:rPr>
                <w:rFonts w:eastAsia="仿宋_GB2312"/>
                <w:color w:val="333333"/>
                <w:kern w:val="0"/>
                <w:szCs w:val="21"/>
              </w:rPr>
              <w:t>城市间交通费、住宿费</w:t>
            </w:r>
          </w:p>
        </w:tc>
        <w:tc>
          <w:tcPr>
            <w:tcW w:w="544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333333"/>
                <w:kern w:val="0"/>
                <w:szCs w:val="21"/>
              </w:rPr>
            </w:pPr>
            <w:r>
              <w:rPr>
                <w:rFonts w:eastAsia="仿宋_GB2312"/>
                <w:color w:val="333333"/>
                <w:kern w:val="0"/>
                <w:szCs w:val="21"/>
              </w:rPr>
              <w:t>参照采购人执行的差旅费管理办法相应标准向采购人或集中采购机构凭有效凭证报销或协商包干。</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Cs w:val="21"/>
              </w:rPr>
            </w:pPr>
            <w:r>
              <w:rPr>
                <w:rFonts w:eastAsia="仿宋_GB2312"/>
                <w:kern w:val="0"/>
                <w:szCs w:val="21"/>
              </w:rPr>
              <w:t>　</w:t>
            </w:r>
          </w:p>
        </w:tc>
      </w:tr>
    </w:tbl>
    <w:p>
      <w:pPr>
        <w:rPr>
          <w:rFonts w:hint="eastAsia" w:eastAsia="仿宋_GB2312"/>
          <w:sz w:val="32"/>
          <w:szCs w:val="32"/>
        </w:rPr>
      </w:pPr>
    </w:p>
    <w:p>
      <w:pPr>
        <w:tabs>
          <w:tab w:val="left" w:pos="3150"/>
        </w:tabs>
        <w:rPr>
          <w:rFonts w:hint="eastAsia" w:ascii="黑体" w:hAnsi="宋体" w:eastAsia="黑体" w:cs="宋体"/>
          <w:kern w:val="0"/>
          <w:sz w:val="32"/>
          <w:szCs w:val="32"/>
        </w:rPr>
      </w:pPr>
      <w:r>
        <w:rPr>
          <w:rFonts w:eastAsia="仿宋_GB2312"/>
          <w:sz w:val="32"/>
          <w:szCs w:val="32"/>
        </w:rPr>
        <w:br w:type="page"/>
      </w:r>
      <w:r>
        <w:rPr>
          <w:rFonts w:hint="eastAsia" w:ascii="黑体" w:hAnsi="宋体" w:eastAsia="黑体" w:cs="宋体"/>
          <w:kern w:val="0"/>
          <w:sz w:val="32"/>
          <w:szCs w:val="32"/>
        </w:rPr>
        <w:t>附件2</w:t>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r>
        <w:rPr>
          <w:rFonts w:hint="eastAsia" w:ascii="黑体" w:hAnsi="宋体" w:eastAsia="黑体" w:cs="宋体"/>
          <w:kern w:val="0"/>
          <w:sz w:val="32"/>
          <w:szCs w:val="32"/>
        </w:rPr>
        <w:tab/>
      </w:r>
    </w:p>
    <w:p>
      <w:pPr>
        <w:widowControl/>
        <w:ind w:left="93"/>
        <w:jc w:val="center"/>
        <w:rPr>
          <w:rFonts w:hint="eastAsia" w:ascii="方正小标宋_GBK" w:hAnsi="宋体" w:eastAsia="方正小标宋_GBK" w:cs="宋体"/>
          <w:color w:val="333333"/>
          <w:kern w:val="0"/>
          <w:sz w:val="36"/>
          <w:szCs w:val="36"/>
        </w:rPr>
      </w:pPr>
      <w:r>
        <w:rPr>
          <w:rFonts w:hint="eastAsia" w:ascii="方正小标宋_GBK" w:hAnsi="宋体" w:eastAsia="方正小标宋_GBK" w:cs="宋体"/>
          <w:color w:val="333333"/>
          <w:kern w:val="0"/>
          <w:sz w:val="36"/>
          <w:szCs w:val="36"/>
        </w:rPr>
        <w:t>湖南省政府采购评审专家劳务报酬支付表</w:t>
      </w:r>
    </w:p>
    <w:p>
      <w:pPr>
        <w:widowControl/>
        <w:ind w:left="93"/>
        <w:jc w:val="center"/>
        <w:rPr>
          <w:rFonts w:ascii="仿宋" w:hAnsi="仿宋" w:eastAsia="仿宋" w:cs="宋体"/>
          <w:kern w:val="0"/>
          <w:sz w:val="24"/>
        </w:rPr>
      </w:pPr>
      <w:r>
        <w:rPr>
          <w:rFonts w:hint="eastAsia" w:ascii="仿宋" w:hAnsi="仿宋" w:eastAsia="仿宋" w:cs="宋体"/>
          <w:kern w:val="0"/>
          <w:sz w:val="24"/>
        </w:rPr>
        <w:t>年     月    日</w:t>
      </w:r>
    </w:p>
    <w:tbl>
      <w:tblPr>
        <w:tblStyle w:val="5"/>
        <w:tblW w:w="15005" w:type="dxa"/>
        <w:jc w:val="center"/>
        <w:tblInd w:w="0" w:type="dxa"/>
        <w:tblLayout w:type="fixed"/>
        <w:tblCellMar>
          <w:top w:w="0" w:type="dxa"/>
          <w:left w:w="108" w:type="dxa"/>
          <w:bottom w:w="0" w:type="dxa"/>
          <w:right w:w="108" w:type="dxa"/>
        </w:tblCellMar>
      </w:tblPr>
      <w:tblGrid>
        <w:gridCol w:w="1385"/>
        <w:gridCol w:w="1160"/>
        <w:gridCol w:w="1680"/>
        <w:gridCol w:w="1240"/>
        <w:gridCol w:w="1500"/>
        <w:gridCol w:w="1100"/>
        <w:gridCol w:w="920"/>
        <w:gridCol w:w="1020"/>
        <w:gridCol w:w="920"/>
        <w:gridCol w:w="940"/>
        <w:gridCol w:w="1080"/>
        <w:gridCol w:w="1240"/>
        <w:gridCol w:w="820"/>
      </w:tblGrid>
      <w:tr>
        <w:tblPrEx>
          <w:tblLayout w:type="fixed"/>
          <w:tblCellMar>
            <w:top w:w="0" w:type="dxa"/>
            <w:left w:w="108" w:type="dxa"/>
            <w:bottom w:w="0" w:type="dxa"/>
            <w:right w:w="108" w:type="dxa"/>
          </w:tblCellMar>
        </w:tblPrEx>
        <w:trPr>
          <w:trHeight w:val="340" w:hRule="atLeast"/>
          <w:jc w:val="center"/>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项目名称</w:t>
            </w:r>
          </w:p>
        </w:tc>
        <w:tc>
          <w:tcPr>
            <w:tcW w:w="55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2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政府采购计划号</w:t>
            </w:r>
          </w:p>
        </w:tc>
        <w:tc>
          <w:tcPr>
            <w:tcW w:w="39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分包数量</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采购人</w:t>
            </w:r>
          </w:p>
        </w:tc>
        <w:tc>
          <w:tcPr>
            <w:tcW w:w="55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2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采购代理机构</w:t>
            </w:r>
          </w:p>
        </w:tc>
        <w:tc>
          <w:tcPr>
            <w:tcW w:w="602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评审时间</w:t>
            </w:r>
          </w:p>
        </w:tc>
        <w:tc>
          <w:tcPr>
            <w:tcW w:w="55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扣除时间</w:t>
            </w:r>
          </w:p>
        </w:tc>
        <w:tc>
          <w:tcPr>
            <w:tcW w:w="2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支付方式</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转账□</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现金□</w:t>
            </w:r>
          </w:p>
        </w:tc>
      </w:tr>
      <w:tr>
        <w:tblPrEx>
          <w:tblLayout w:type="fixed"/>
          <w:tblCellMar>
            <w:top w:w="0" w:type="dxa"/>
            <w:left w:w="108" w:type="dxa"/>
            <w:bottom w:w="0" w:type="dxa"/>
            <w:right w:w="108" w:type="dxa"/>
          </w:tblCellMar>
        </w:tblPrEx>
        <w:trPr>
          <w:trHeight w:val="340" w:hRule="atLeast"/>
          <w:jc w:val="center"/>
        </w:trPr>
        <w:tc>
          <w:tcPr>
            <w:tcW w:w="696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评审专家信息</w:t>
            </w:r>
          </w:p>
        </w:tc>
        <w:tc>
          <w:tcPr>
            <w:tcW w:w="1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评审费</w:t>
            </w:r>
          </w:p>
        </w:tc>
        <w:tc>
          <w:tcPr>
            <w:tcW w:w="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误工补贴</w:t>
            </w:r>
          </w:p>
        </w:tc>
        <w:tc>
          <w:tcPr>
            <w:tcW w:w="1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差旅费（实报）</w:t>
            </w:r>
          </w:p>
        </w:tc>
        <w:tc>
          <w:tcPr>
            <w:tcW w:w="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差旅费（包干）</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扣减金额</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实际发放金额</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评审专家</w:t>
            </w:r>
            <w:r>
              <w:rPr>
                <w:rFonts w:hint="eastAsia" w:ascii="仿宋_GB2312" w:hAnsi="仿宋" w:eastAsia="仿宋_GB2312" w:cs="宋体"/>
                <w:kern w:val="0"/>
                <w:sz w:val="24"/>
              </w:rPr>
              <w:br w:type="textWrapping"/>
            </w:r>
            <w:r>
              <w:rPr>
                <w:rFonts w:hint="eastAsia" w:ascii="仿宋_GB2312" w:hAnsi="仿宋" w:eastAsia="仿宋_GB2312" w:cs="宋体"/>
                <w:kern w:val="0"/>
                <w:sz w:val="24"/>
              </w:rPr>
              <w:t>签名</w:t>
            </w: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备注</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姓 名</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电 话</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身份证号码</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开户银行</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帐号</w:t>
            </w:r>
          </w:p>
        </w:tc>
        <w:tc>
          <w:tcPr>
            <w:tcW w:w="1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9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9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 w:eastAsia="仿宋_GB2312" w:cs="宋体"/>
                <w:kern w:val="0"/>
                <w:sz w:val="24"/>
              </w:rPr>
            </w:pP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合计</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总计</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78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5465" w:type="dxa"/>
            <w:gridSpan w:val="4"/>
            <w:tcBorders>
              <w:top w:val="single" w:color="auto" w:sz="4" w:space="0"/>
              <w:left w:val="single" w:color="auto" w:sz="4" w:space="0"/>
            </w:tcBorders>
            <w:shd w:val="clear" w:color="auto" w:fill="auto"/>
            <w:vAlign w:val="center"/>
          </w:tcPr>
          <w:p>
            <w:pPr>
              <w:widowControl/>
              <w:jc w:val="center"/>
              <w:rPr>
                <w:rFonts w:hint="eastAsia" w:ascii="仿宋_GB2312" w:hAnsi="仿宋" w:eastAsia="仿宋_GB2312" w:cs="宋体"/>
                <w:kern w:val="0"/>
                <w:sz w:val="24"/>
              </w:rPr>
            </w:pPr>
          </w:p>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采购人授权代表签字</w:t>
            </w:r>
          </w:p>
          <w:p>
            <w:pPr>
              <w:widowControl/>
              <w:jc w:val="center"/>
              <w:rPr>
                <w:rFonts w:hint="eastAsia" w:ascii="仿宋_GB2312" w:hAnsi="仿宋" w:eastAsia="仿宋_GB2312" w:cs="宋体"/>
                <w:kern w:val="0"/>
                <w:sz w:val="24"/>
              </w:rPr>
            </w:pPr>
          </w:p>
        </w:tc>
        <w:tc>
          <w:tcPr>
            <w:tcW w:w="3520" w:type="dxa"/>
            <w:gridSpan w:val="3"/>
            <w:tcBorders>
              <w:top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2880" w:type="dxa"/>
            <w:gridSpan w:val="3"/>
            <w:tcBorders>
              <w:top w:val="single" w:color="auto" w:sz="4" w:space="0"/>
            </w:tcBorders>
            <w:shd w:val="clear" w:color="auto" w:fill="auto"/>
            <w:vAlign w:val="center"/>
          </w:tcPr>
          <w:p>
            <w:pPr>
              <w:widowControl/>
              <w:jc w:val="center"/>
              <w:rPr>
                <w:rFonts w:hint="eastAsia" w:ascii="仿宋_GB2312" w:hAnsi="仿宋" w:eastAsia="仿宋_GB2312" w:cs="宋体"/>
                <w:kern w:val="0"/>
                <w:sz w:val="24"/>
              </w:rPr>
            </w:pPr>
          </w:p>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采购人现场监督人员签字</w:t>
            </w:r>
          </w:p>
          <w:p>
            <w:pPr>
              <w:widowControl/>
              <w:jc w:val="center"/>
              <w:rPr>
                <w:rFonts w:hint="eastAsia" w:ascii="仿宋_GB2312" w:hAnsi="仿宋" w:eastAsia="仿宋_GB2312" w:cs="宋体"/>
                <w:kern w:val="0"/>
                <w:sz w:val="24"/>
              </w:rPr>
            </w:pPr>
          </w:p>
        </w:tc>
        <w:tc>
          <w:tcPr>
            <w:tcW w:w="3140" w:type="dxa"/>
            <w:gridSpan w:val="3"/>
            <w:tcBorders>
              <w:top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Layout w:type="fixed"/>
          <w:tblCellMar>
            <w:top w:w="0" w:type="dxa"/>
            <w:left w:w="108" w:type="dxa"/>
            <w:bottom w:w="0" w:type="dxa"/>
            <w:right w:w="108" w:type="dxa"/>
          </w:tblCellMar>
        </w:tblPrEx>
        <w:trPr>
          <w:trHeight w:val="340" w:hRule="atLeast"/>
          <w:jc w:val="center"/>
        </w:trPr>
        <w:tc>
          <w:tcPr>
            <w:tcW w:w="5465" w:type="dxa"/>
            <w:gridSpan w:val="4"/>
            <w:tcBorders>
              <w:left w:val="single" w:color="auto" w:sz="4" w:space="0"/>
              <w:bottom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采购代理机构项目负责人签字</w:t>
            </w:r>
          </w:p>
        </w:tc>
        <w:tc>
          <w:tcPr>
            <w:tcW w:w="3520" w:type="dxa"/>
            <w:gridSpan w:val="3"/>
            <w:tcBorders>
              <w:bottom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2880" w:type="dxa"/>
            <w:gridSpan w:val="3"/>
            <w:tcBorders>
              <w:bottom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采购代理机构公章</w:t>
            </w:r>
          </w:p>
        </w:tc>
        <w:tc>
          <w:tcPr>
            <w:tcW w:w="3140" w:type="dxa"/>
            <w:gridSpan w:val="3"/>
            <w:tcBorders>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bl>
    <w:p>
      <w:pPr>
        <w:rPr>
          <w:rFonts w:eastAsia="仿宋_GB2312"/>
          <w:sz w:val="32"/>
          <w:szCs w:val="32"/>
        </w:rPr>
        <w:sectPr>
          <w:pgSz w:w="16837" w:h="11905" w:orient="landscape"/>
          <w:pgMar w:top="1134" w:right="1418" w:bottom="1134" w:left="1418" w:header="720" w:footer="1701" w:gutter="0"/>
          <w:cols w:space="720" w:num="1"/>
          <w:docGrid w:linePitch="636" w:charSpace="20838"/>
        </w:sectPr>
      </w:pPr>
    </w:p>
    <w:p>
      <w:pPr>
        <w:rPr>
          <w:rFonts w:hint="eastAsia" w:ascii="黑体" w:eastAsia="黑体"/>
          <w:sz w:val="28"/>
          <w:szCs w:val="28"/>
        </w:rPr>
      </w:pPr>
    </w:p>
    <w:p>
      <w:pPr>
        <w:rPr>
          <w:rFonts w:hint="eastAsia" w:ascii="黑体" w:eastAsia="黑体"/>
          <w:sz w:val="28"/>
          <w:szCs w:val="28"/>
        </w:rPr>
      </w:pPr>
      <w:bookmarkStart w:id="0" w:name="_GoBack"/>
      <w:bookmarkEnd w:id="0"/>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75A36"/>
    <w:rsid w:val="40EA3DF5"/>
    <w:rsid w:val="4AA90973"/>
    <w:rsid w:val="6C8F2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各自远 扬°</cp:lastModifiedBy>
  <dcterms:modified xsi:type="dcterms:W3CDTF">2018-05-18T07:17:18Z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