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3E3A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1200" w:firstLineChars="300"/>
        <w:jc w:val="center"/>
        <w:textAlignment w:val="auto"/>
        <w:rPr>
          <w:rFonts w:hint="eastAsia" w:ascii="方正小标宋_GBK" w:hAnsi="方正小标宋_GBK" w:eastAsia="方正小标宋_GBK" w:cs="方正小标宋_GBK"/>
          <w:i w:val="0"/>
          <w:iCs w:val="0"/>
          <w:caps w:val="0"/>
          <w:color w:val="000000"/>
          <w:spacing w:val="0"/>
          <w:sz w:val="40"/>
          <w:szCs w:val="40"/>
          <w:highlight w:val="none"/>
          <w:shd w:val="clear" w:fill="FFFFFF"/>
          <w:lang w:val="en-US" w:eastAsia="zh-CN"/>
        </w:rPr>
      </w:pPr>
      <w:r>
        <w:rPr>
          <w:rFonts w:hint="eastAsia" w:ascii="方正小标宋_GBK" w:hAnsi="方正小标宋_GBK" w:eastAsia="方正小标宋_GBK" w:cs="方正小标宋_GBK"/>
          <w:i w:val="0"/>
          <w:iCs w:val="0"/>
          <w:caps w:val="0"/>
          <w:color w:val="000000"/>
          <w:spacing w:val="0"/>
          <w:sz w:val="40"/>
          <w:szCs w:val="40"/>
          <w:highlight w:val="none"/>
          <w:shd w:val="clear" w:fill="FFFFFF"/>
          <w:lang w:val="en-US" w:eastAsia="zh-CN"/>
        </w:rPr>
        <w:t>2024年度怀化市公共资源交易中心</w:t>
      </w:r>
    </w:p>
    <w:p w14:paraId="348B4FA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1200" w:firstLineChars="300"/>
        <w:jc w:val="center"/>
        <w:textAlignment w:val="auto"/>
        <w:rPr>
          <w:rFonts w:hint="eastAsia" w:ascii="方正小标宋_GBK" w:hAnsi="方正小标宋_GBK" w:eastAsia="方正小标宋_GBK" w:cs="方正小标宋_GBK"/>
          <w:i w:val="0"/>
          <w:iCs w:val="0"/>
          <w:caps w:val="0"/>
          <w:color w:val="000000"/>
          <w:spacing w:val="0"/>
          <w:sz w:val="40"/>
          <w:szCs w:val="40"/>
          <w:highlight w:val="none"/>
          <w:shd w:val="clear" w:fill="FFFFFF"/>
          <w:lang w:val="en-US" w:eastAsia="zh-CN"/>
        </w:rPr>
      </w:pPr>
      <w:r>
        <w:rPr>
          <w:rFonts w:hint="eastAsia" w:ascii="方正小标宋_GBK" w:hAnsi="方正小标宋_GBK" w:eastAsia="方正小标宋_GBK" w:cs="方正小标宋_GBK"/>
          <w:i w:val="0"/>
          <w:iCs w:val="0"/>
          <w:caps w:val="0"/>
          <w:color w:val="000000"/>
          <w:spacing w:val="0"/>
          <w:sz w:val="40"/>
          <w:szCs w:val="40"/>
          <w:highlight w:val="none"/>
          <w:shd w:val="clear" w:fill="FFFFFF"/>
          <w:lang w:val="en-US" w:eastAsia="zh-CN"/>
        </w:rPr>
        <w:t>部门整体支出绩效自评报告</w:t>
      </w:r>
    </w:p>
    <w:p w14:paraId="21146C2F">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536A81FE">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一、部门概况</w:t>
      </w:r>
    </w:p>
    <w:p w14:paraId="5B3299C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（一）部门（单位）基本情况。</w:t>
      </w:r>
    </w:p>
    <w:p w14:paraId="1EC7669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（1）机构设置情况</w:t>
      </w:r>
    </w:p>
    <w:p w14:paraId="0075A21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怀化市公共资源交易中心为市人民政府直属正处级公益一类事业单位，内设部室为：办公室、监督部、技术信息与市场服务部、财务部、工程交易部、政府采购交易部、产权交易部、自然资源交易部8个职能部室。</w:t>
      </w:r>
    </w:p>
    <w:p w14:paraId="71C9888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（2）人员编制情况</w:t>
      </w:r>
    </w:p>
    <w:p w14:paraId="4486E08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根据三定方案，2024年度怀化市公共资源交易中心编制人员54人，在编在岗63人，其中：差额事业管理人员编制54人，长聘人员9人。</w:t>
      </w:r>
    </w:p>
    <w:p w14:paraId="74B1D7E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（3）主要职能职责</w:t>
      </w:r>
    </w:p>
    <w:p w14:paraId="5982693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1.贯彻执行国家和省有关公共资源交易的方针政策和法律法规，为市场主体、社会公众、行政监督管理部门提供综合服务。</w:t>
      </w:r>
    </w:p>
    <w:p w14:paraId="10046BF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2.为公共资源交易平台提供运行服务。</w:t>
      </w:r>
    </w:p>
    <w:p w14:paraId="4A43078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3.承担工程交易、政府采购交易、产权交易和自然资源交易相关服务工作；提供交易活动所必要的场所、设施和服务。</w:t>
      </w:r>
    </w:p>
    <w:p w14:paraId="387FF1C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4.执行各类公共资源交易流程、操作规程和现场管理制度，维持现场交易秩序；为电子交易和监管系统提供对接服务。</w:t>
      </w:r>
    </w:p>
    <w:p w14:paraId="6456CD2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5.负责市级公共资源交易平台及电子系统建设、运行、管理，为有关部门核验交易主体的资质提供服务，收集、储存和发布各类公共资源交易信息，为市场主体提供信息咨询服务，记录、整理、保存交易服务过程相关资料，汇总分析、综合利用交易数据，开展交易风险监测预警。</w:t>
      </w:r>
    </w:p>
    <w:p w14:paraId="6DCD9B0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6.为行政监管部门开展监督提供必要条件和平台服务，配合行政监管部门和监察机关的监督管理工作，及时向行政监管部门报告发现的违反交易规则和管理制度的行为。</w:t>
      </w:r>
    </w:p>
    <w:p w14:paraId="7FEA810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7.在相关部门监督下，承担评标专家抽取有关工作；提供交易活动见证服务；做好项目入场登记服务，组织平台内的公共资源交易活动，对参与平台内交易活动的相关人员、机构活动进行记录和考评。</w:t>
      </w:r>
    </w:p>
    <w:p w14:paraId="2945B8B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8.完成市委、市政府和市公共资源交易管理委员会交办的其他事项。</w:t>
      </w:r>
    </w:p>
    <w:p w14:paraId="3E40690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（二）部门（单位）整体支出规模、使用方向和主要内容、涉及范围等。</w:t>
      </w:r>
    </w:p>
    <w:p w14:paraId="4EE488B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根据《怀化市财政局关于批复下达2024年市直部门预算的通知》（怀财预〔2024〕5号），2024年我单位整体支出2403.13元，全部实行整体支出绩效目标管理，编报绩效目标的项目1个，其中：专项业务（工作）经费973.80万元，全部实行项目支出绩效目标管理。</w:t>
      </w:r>
    </w:p>
    <w:p w14:paraId="2C99526C">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二、一般公共预算支出情况</w:t>
      </w:r>
    </w:p>
    <w:p w14:paraId="297D875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（一）基本支出</w:t>
      </w:r>
    </w:p>
    <w:p w14:paraId="1C0C72F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202</w:t>
      </w: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年年初基本支出预算</w:t>
      </w:r>
      <w:r>
        <w:rPr>
          <w:rFonts w:hint="eastAsia" w:ascii="Times New Roman Regular" w:hAnsi="Times New Roman Regular" w:eastAsia="仿宋_GB2312" w:cs="Times New Roman Regular"/>
          <w:color w:val="auto"/>
          <w:sz w:val="32"/>
          <w:szCs w:val="32"/>
          <w:highlight w:val="none"/>
          <w:lang w:val="en-US" w:eastAsia="zh-CN"/>
        </w:rPr>
        <w:t>1429.33</w:t>
      </w:r>
      <w:r>
        <w:rPr>
          <w:rFonts w:hint="default" w:ascii="Times New Roman Regular" w:hAnsi="Times New Roman Regular" w:eastAsia="仿宋_GB2312" w:cs="Times New Roman Regular"/>
          <w:color w:val="auto"/>
          <w:sz w:val="32"/>
          <w:szCs w:val="32"/>
          <w:highlight w:val="none"/>
          <w:lang w:val="en-US" w:eastAsia="zh-CN"/>
        </w:rPr>
        <w:t>万元，全年预算数</w:t>
      </w:r>
      <w:r>
        <w:rPr>
          <w:rFonts w:hint="eastAsia" w:ascii="Times New Roman Regular" w:hAnsi="Times New Roman Regular" w:eastAsia="仿宋_GB2312" w:cs="Times New Roman Regular"/>
          <w:color w:val="auto"/>
          <w:sz w:val="32"/>
          <w:szCs w:val="32"/>
          <w:highlight w:val="none"/>
          <w:lang w:val="en-US" w:eastAsia="zh-CN"/>
        </w:rPr>
        <w:t>1429.33</w:t>
      </w:r>
      <w:r>
        <w:rPr>
          <w:rFonts w:hint="default" w:ascii="Times New Roman Regular" w:hAnsi="Times New Roman Regular" w:eastAsia="仿宋_GB2312" w:cs="Times New Roman Regular"/>
          <w:color w:val="auto"/>
          <w:sz w:val="32"/>
          <w:szCs w:val="32"/>
          <w:highlight w:val="none"/>
          <w:lang w:val="en-US" w:eastAsia="zh-CN"/>
        </w:rPr>
        <w:t>万元，实际支出</w:t>
      </w:r>
      <w:r>
        <w:rPr>
          <w:rFonts w:hint="eastAsia" w:ascii="Times New Roman Regular" w:hAnsi="Times New Roman Regular" w:eastAsia="仿宋_GB2312" w:cs="Times New Roman Regular"/>
          <w:color w:val="auto"/>
          <w:sz w:val="32"/>
          <w:szCs w:val="32"/>
          <w:highlight w:val="none"/>
          <w:lang w:val="en-US" w:eastAsia="zh-CN"/>
        </w:rPr>
        <w:t>1264.03</w:t>
      </w:r>
      <w:r>
        <w:rPr>
          <w:rFonts w:hint="default" w:ascii="Times New Roman Regular" w:hAnsi="Times New Roman Regular" w:eastAsia="仿宋_GB2312" w:cs="Times New Roman Regular"/>
          <w:color w:val="auto"/>
          <w:sz w:val="32"/>
          <w:szCs w:val="32"/>
          <w:highlight w:val="none"/>
          <w:lang w:val="en-US" w:eastAsia="zh-CN"/>
        </w:rPr>
        <w:t>万元。基本支出是指为保障单位机构正常运转、完成日常工作任务而发生的各项支出，其中：基本工资</w:t>
      </w:r>
      <w:r>
        <w:rPr>
          <w:rFonts w:hint="eastAsia" w:ascii="Times New Roman Regular" w:hAnsi="Times New Roman Regular" w:eastAsia="仿宋_GB2312" w:cs="Times New Roman Regular"/>
          <w:color w:val="auto"/>
          <w:sz w:val="32"/>
          <w:szCs w:val="32"/>
          <w:highlight w:val="none"/>
          <w:lang w:val="en-US" w:eastAsia="zh-CN"/>
        </w:rPr>
        <w:t>253.59</w:t>
      </w:r>
      <w:r>
        <w:rPr>
          <w:rFonts w:hint="default" w:ascii="Times New Roman Regular" w:hAnsi="Times New Roman Regular" w:eastAsia="仿宋_GB2312" w:cs="Times New Roman Regular"/>
          <w:color w:val="auto"/>
          <w:sz w:val="32"/>
          <w:szCs w:val="32"/>
          <w:highlight w:val="none"/>
          <w:lang w:val="en-US" w:eastAsia="zh-CN"/>
        </w:rPr>
        <w:t>万元、津贴补贴</w:t>
      </w:r>
      <w:r>
        <w:rPr>
          <w:rFonts w:hint="eastAsia" w:ascii="Times New Roman Regular" w:hAnsi="Times New Roman Regular" w:eastAsia="仿宋_GB2312" w:cs="Times New Roman Regular"/>
          <w:color w:val="auto"/>
          <w:sz w:val="32"/>
          <w:szCs w:val="32"/>
          <w:highlight w:val="none"/>
          <w:lang w:val="en-US" w:eastAsia="zh-CN"/>
        </w:rPr>
        <w:t>1.76</w:t>
      </w:r>
      <w:r>
        <w:rPr>
          <w:rFonts w:hint="default" w:ascii="Times New Roman Regular" w:hAnsi="Times New Roman Regular" w:eastAsia="仿宋_GB2312" w:cs="Times New Roman Regular"/>
          <w:color w:val="auto"/>
          <w:sz w:val="32"/>
          <w:szCs w:val="32"/>
          <w:highlight w:val="none"/>
          <w:lang w:val="en-US" w:eastAsia="zh-CN"/>
        </w:rPr>
        <w:t>万元、奖金</w:t>
      </w:r>
      <w:r>
        <w:rPr>
          <w:rFonts w:hint="eastAsia" w:ascii="Times New Roman Regular" w:hAnsi="Times New Roman Regular" w:eastAsia="仿宋_GB2312" w:cs="Times New Roman Regular"/>
          <w:color w:val="auto"/>
          <w:sz w:val="32"/>
          <w:szCs w:val="32"/>
          <w:highlight w:val="none"/>
          <w:lang w:val="en-US" w:eastAsia="zh-CN"/>
        </w:rPr>
        <w:t>146.03</w:t>
      </w:r>
      <w:r>
        <w:rPr>
          <w:rFonts w:hint="default" w:ascii="Times New Roman Regular" w:hAnsi="Times New Roman Regular" w:eastAsia="仿宋_GB2312" w:cs="Times New Roman Regular"/>
          <w:color w:val="auto"/>
          <w:sz w:val="32"/>
          <w:szCs w:val="32"/>
          <w:highlight w:val="none"/>
          <w:lang w:val="en-US" w:eastAsia="zh-CN"/>
        </w:rPr>
        <w:t>万元、绩效工资</w:t>
      </w:r>
      <w:r>
        <w:rPr>
          <w:rFonts w:hint="eastAsia" w:ascii="Times New Roman Regular" w:hAnsi="Times New Roman Regular" w:eastAsia="仿宋_GB2312" w:cs="Times New Roman Regular"/>
          <w:color w:val="auto"/>
          <w:sz w:val="32"/>
          <w:szCs w:val="32"/>
          <w:highlight w:val="none"/>
          <w:lang w:val="en-US" w:eastAsia="zh-CN"/>
        </w:rPr>
        <w:t>245.74</w:t>
      </w:r>
      <w:r>
        <w:rPr>
          <w:rFonts w:hint="default" w:ascii="Times New Roman Regular" w:hAnsi="Times New Roman Regular" w:eastAsia="仿宋_GB2312" w:cs="Times New Roman Regular"/>
          <w:color w:val="auto"/>
          <w:sz w:val="32"/>
          <w:szCs w:val="32"/>
          <w:highlight w:val="none"/>
          <w:lang w:val="en-US" w:eastAsia="zh-CN"/>
        </w:rPr>
        <w:t>万元、机关事业单位基本养老保险缴费</w:t>
      </w:r>
      <w:r>
        <w:rPr>
          <w:rFonts w:hint="eastAsia" w:ascii="Times New Roman Regular" w:hAnsi="Times New Roman Regular" w:eastAsia="仿宋_GB2312" w:cs="Times New Roman Regular"/>
          <w:color w:val="auto"/>
          <w:sz w:val="32"/>
          <w:szCs w:val="32"/>
          <w:highlight w:val="none"/>
          <w:lang w:val="en-US" w:eastAsia="zh-CN"/>
        </w:rPr>
        <w:t>92.46</w:t>
      </w:r>
      <w:r>
        <w:rPr>
          <w:rFonts w:hint="default" w:ascii="Times New Roman Regular" w:hAnsi="Times New Roman Regular" w:eastAsia="仿宋_GB2312" w:cs="Times New Roman Regular"/>
          <w:color w:val="auto"/>
          <w:sz w:val="32"/>
          <w:szCs w:val="32"/>
          <w:highlight w:val="none"/>
          <w:lang w:val="en-US" w:eastAsia="zh-CN"/>
        </w:rPr>
        <w:t>万元、职业年金</w:t>
      </w:r>
      <w:r>
        <w:rPr>
          <w:rFonts w:hint="eastAsia" w:ascii="Times New Roman Regular" w:hAnsi="Times New Roman Regular" w:eastAsia="仿宋_GB2312" w:cs="Times New Roman Regular"/>
          <w:color w:val="auto"/>
          <w:sz w:val="32"/>
          <w:szCs w:val="32"/>
          <w:highlight w:val="none"/>
          <w:lang w:val="en-US" w:eastAsia="zh-CN"/>
        </w:rPr>
        <w:t>缴费46.23</w:t>
      </w:r>
      <w:r>
        <w:rPr>
          <w:rFonts w:hint="default" w:ascii="Times New Roman Regular" w:hAnsi="Times New Roman Regular" w:eastAsia="仿宋_GB2312" w:cs="Times New Roman Regular"/>
          <w:color w:val="auto"/>
          <w:sz w:val="32"/>
          <w:szCs w:val="32"/>
          <w:highlight w:val="none"/>
          <w:lang w:val="en-US" w:eastAsia="zh-CN"/>
        </w:rPr>
        <w:t>万元、职工基本医疗保险缴费</w:t>
      </w:r>
      <w:r>
        <w:rPr>
          <w:rFonts w:hint="eastAsia" w:ascii="Times New Roman Regular" w:hAnsi="Times New Roman Regular" w:eastAsia="仿宋_GB2312" w:cs="Times New Roman Regular"/>
          <w:color w:val="auto"/>
          <w:sz w:val="32"/>
          <w:szCs w:val="32"/>
          <w:highlight w:val="none"/>
          <w:lang w:val="en-US" w:eastAsia="zh-CN"/>
        </w:rPr>
        <w:t>65.59</w:t>
      </w:r>
      <w:r>
        <w:rPr>
          <w:rFonts w:hint="default" w:ascii="Times New Roman Regular" w:hAnsi="Times New Roman Regular" w:eastAsia="仿宋_GB2312" w:cs="Times New Roman Regular"/>
          <w:color w:val="auto"/>
          <w:sz w:val="32"/>
          <w:szCs w:val="32"/>
          <w:highlight w:val="none"/>
          <w:lang w:val="en-US" w:eastAsia="zh-CN"/>
        </w:rPr>
        <w:t>万元、其他社会保障缴费</w:t>
      </w:r>
      <w:r>
        <w:rPr>
          <w:rFonts w:hint="eastAsia" w:ascii="Times New Roman Regular" w:hAnsi="Times New Roman Regular" w:eastAsia="仿宋_GB2312" w:cs="Times New Roman Regular"/>
          <w:color w:val="auto"/>
          <w:sz w:val="32"/>
          <w:szCs w:val="32"/>
          <w:highlight w:val="none"/>
          <w:lang w:val="en-US" w:eastAsia="zh-CN"/>
        </w:rPr>
        <w:t>13.72</w:t>
      </w:r>
      <w:r>
        <w:rPr>
          <w:rFonts w:hint="default" w:ascii="Times New Roman Regular" w:hAnsi="Times New Roman Regular" w:eastAsia="仿宋_GB2312" w:cs="Times New Roman Regular"/>
          <w:color w:val="auto"/>
          <w:sz w:val="32"/>
          <w:szCs w:val="32"/>
          <w:highlight w:val="none"/>
          <w:lang w:val="en-US" w:eastAsia="zh-CN"/>
        </w:rPr>
        <w:t>万元、住房公积金</w:t>
      </w:r>
      <w:r>
        <w:rPr>
          <w:rFonts w:hint="eastAsia" w:ascii="Times New Roman Regular" w:hAnsi="Times New Roman Regular" w:eastAsia="仿宋_GB2312" w:cs="Times New Roman Regular"/>
          <w:color w:val="auto"/>
          <w:sz w:val="32"/>
          <w:szCs w:val="32"/>
          <w:highlight w:val="none"/>
          <w:lang w:val="en-US" w:eastAsia="zh-CN"/>
        </w:rPr>
        <w:t>79.10</w:t>
      </w:r>
      <w:r>
        <w:rPr>
          <w:rFonts w:hint="default" w:ascii="Times New Roman Regular" w:hAnsi="Times New Roman Regular" w:eastAsia="仿宋_GB2312" w:cs="Times New Roman Regular"/>
          <w:color w:val="auto"/>
          <w:sz w:val="32"/>
          <w:szCs w:val="32"/>
          <w:highlight w:val="none"/>
          <w:lang w:val="en-US" w:eastAsia="zh-CN"/>
        </w:rPr>
        <w:t>万元、其他工资福利支出</w:t>
      </w:r>
      <w:r>
        <w:rPr>
          <w:rFonts w:hint="eastAsia" w:ascii="Times New Roman Regular" w:hAnsi="Times New Roman Regular" w:eastAsia="仿宋_GB2312" w:cs="Times New Roman Regular"/>
          <w:color w:val="auto"/>
          <w:sz w:val="32"/>
          <w:szCs w:val="32"/>
          <w:highlight w:val="none"/>
          <w:lang w:val="en-US" w:eastAsia="zh-CN"/>
        </w:rPr>
        <w:t>131.3</w:t>
      </w:r>
      <w:r>
        <w:rPr>
          <w:rFonts w:hint="default" w:ascii="Times New Roman Regular" w:hAnsi="Times New Roman Regular" w:eastAsia="仿宋_GB2312" w:cs="Times New Roman Regular"/>
          <w:color w:val="auto"/>
          <w:sz w:val="32"/>
          <w:szCs w:val="32"/>
          <w:highlight w:val="none"/>
          <w:lang w:val="en-US" w:eastAsia="zh-CN"/>
        </w:rPr>
        <w:t>万元</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水费0.</w:t>
      </w:r>
      <w:r>
        <w:rPr>
          <w:rFonts w:hint="eastAsia" w:ascii="Times New Roman Regular" w:hAnsi="Times New Roman Regular" w:eastAsia="仿宋_GB2312" w:cs="Times New Roman Regular"/>
          <w:color w:val="auto"/>
          <w:sz w:val="32"/>
          <w:szCs w:val="32"/>
          <w:highlight w:val="none"/>
          <w:lang w:val="en-US" w:eastAsia="zh-CN"/>
        </w:rPr>
        <w:t>92</w:t>
      </w:r>
      <w:r>
        <w:rPr>
          <w:rFonts w:hint="default" w:ascii="Times New Roman Regular" w:hAnsi="Times New Roman Regular" w:eastAsia="仿宋_GB2312" w:cs="Times New Roman Regular"/>
          <w:color w:val="auto"/>
          <w:sz w:val="32"/>
          <w:szCs w:val="32"/>
          <w:highlight w:val="none"/>
          <w:lang w:val="en-US" w:eastAsia="zh-CN"/>
        </w:rPr>
        <w:t>万元、电费</w:t>
      </w:r>
      <w:r>
        <w:rPr>
          <w:rFonts w:hint="eastAsia" w:ascii="Times New Roman Regular" w:hAnsi="Times New Roman Regular" w:eastAsia="仿宋_GB2312" w:cs="Times New Roman Regular"/>
          <w:color w:val="auto"/>
          <w:sz w:val="32"/>
          <w:szCs w:val="32"/>
          <w:highlight w:val="none"/>
          <w:lang w:val="en-US" w:eastAsia="zh-CN"/>
        </w:rPr>
        <w:t>4.00</w:t>
      </w:r>
      <w:r>
        <w:rPr>
          <w:rFonts w:hint="default" w:ascii="Times New Roman Regular" w:hAnsi="Times New Roman Regular" w:eastAsia="仿宋_GB2312" w:cs="Times New Roman Regular"/>
          <w:color w:val="auto"/>
          <w:sz w:val="32"/>
          <w:szCs w:val="32"/>
          <w:highlight w:val="none"/>
          <w:lang w:val="en-US" w:eastAsia="zh-CN"/>
        </w:rPr>
        <w:t>万元、邮电费</w:t>
      </w:r>
      <w:r>
        <w:rPr>
          <w:rFonts w:hint="eastAsia" w:ascii="Times New Roman Regular" w:hAnsi="Times New Roman Regular" w:eastAsia="仿宋_GB2312" w:cs="Times New Roman Regular"/>
          <w:color w:val="auto"/>
          <w:sz w:val="32"/>
          <w:szCs w:val="32"/>
          <w:highlight w:val="none"/>
          <w:lang w:val="en-US" w:eastAsia="zh-CN"/>
        </w:rPr>
        <w:t>2.35</w:t>
      </w:r>
      <w:r>
        <w:rPr>
          <w:rFonts w:hint="default" w:ascii="Times New Roman Regular" w:hAnsi="Times New Roman Regular" w:eastAsia="仿宋_GB2312" w:cs="Times New Roman Regular"/>
          <w:color w:val="auto"/>
          <w:sz w:val="32"/>
          <w:szCs w:val="32"/>
          <w:highlight w:val="none"/>
          <w:lang w:val="en-US" w:eastAsia="zh-CN"/>
        </w:rPr>
        <w:t>万元、差旅费</w:t>
      </w:r>
      <w:r>
        <w:rPr>
          <w:rFonts w:hint="eastAsia" w:ascii="Times New Roman Regular" w:hAnsi="Times New Roman Regular" w:eastAsia="仿宋_GB2312" w:cs="Times New Roman Regular"/>
          <w:color w:val="auto"/>
          <w:sz w:val="32"/>
          <w:szCs w:val="32"/>
          <w:highlight w:val="none"/>
          <w:lang w:val="en-US" w:eastAsia="zh-CN"/>
        </w:rPr>
        <w:t>5.00</w:t>
      </w:r>
      <w:r>
        <w:rPr>
          <w:rFonts w:hint="default" w:ascii="Times New Roman Regular" w:hAnsi="Times New Roman Regular" w:eastAsia="仿宋_GB2312" w:cs="Times New Roman Regular"/>
          <w:color w:val="auto"/>
          <w:sz w:val="32"/>
          <w:szCs w:val="32"/>
          <w:highlight w:val="none"/>
          <w:lang w:val="en-US" w:eastAsia="zh-CN"/>
        </w:rPr>
        <w:t>万元、公务接待费0.</w:t>
      </w:r>
      <w:r>
        <w:rPr>
          <w:rFonts w:hint="eastAsia" w:ascii="Times New Roman Regular" w:hAnsi="Times New Roman Regular" w:eastAsia="仿宋_GB2312" w:cs="Times New Roman Regular"/>
          <w:color w:val="auto"/>
          <w:sz w:val="32"/>
          <w:szCs w:val="32"/>
          <w:highlight w:val="none"/>
          <w:lang w:val="en-US" w:eastAsia="zh-CN"/>
        </w:rPr>
        <w:t>30</w:t>
      </w:r>
      <w:r>
        <w:rPr>
          <w:rFonts w:hint="default" w:ascii="Times New Roman Regular" w:hAnsi="Times New Roman Regular" w:eastAsia="仿宋_GB2312" w:cs="Times New Roman Regular"/>
          <w:color w:val="auto"/>
          <w:sz w:val="32"/>
          <w:szCs w:val="32"/>
          <w:highlight w:val="none"/>
          <w:lang w:val="en-US" w:eastAsia="zh-CN"/>
        </w:rPr>
        <w:t>万元、劳务费</w:t>
      </w:r>
      <w:r>
        <w:rPr>
          <w:rFonts w:hint="eastAsia" w:ascii="Times New Roman Regular" w:hAnsi="Times New Roman Regular" w:eastAsia="仿宋_GB2312" w:cs="Times New Roman Regular"/>
          <w:color w:val="auto"/>
          <w:sz w:val="32"/>
          <w:szCs w:val="32"/>
          <w:highlight w:val="none"/>
          <w:lang w:val="en-US" w:eastAsia="zh-CN"/>
        </w:rPr>
        <w:t>8.12</w:t>
      </w:r>
      <w:r>
        <w:rPr>
          <w:rFonts w:hint="default" w:ascii="Times New Roman Regular" w:hAnsi="Times New Roman Regular" w:eastAsia="仿宋_GB2312" w:cs="Times New Roman Regular"/>
          <w:color w:val="auto"/>
          <w:sz w:val="32"/>
          <w:szCs w:val="32"/>
          <w:highlight w:val="none"/>
          <w:lang w:val="en-US" w:eastAsia="zh-CN"/>
        </w:rPr>
        <w:t>万元、工会经费</w:t>
      </w:r>
      <w:r>
        <w:rPr>
          <w:rFonts w:hint="eastAsia" w:ascii="Times New Roman Regular" w:hAnsi="Times New Roman Regular" w:eastAsia="仿宋_GB2312" w:cs="Times New Roman Regular"/>
          <w:color w:val="auto"/>
          <w:sz w:val="32"/>
          <w:szCs w:val="32"/>
          <w:highlight w:val="none"/>
          <w:lang w:val="en-US" w:eastAsia="zh-CN"/>
        </w:rPr>
        <w:t>57.48</w:t>
      </w:r>
      <w:r>
        <w:rPr>
          <w:rFonts w:hint="default" w:ascii="Times New Roman Regular" w:hAnsi="Times New Roman Regular" w:eastAsia="仿宋_GB2312" w:cs="Times New Roman Regular"/>
          <w:color w:val="auto"/>
          <w:sz w:val="32"/>
          <w:szCs w:val="32"/>
          <w:highlight w:val="none"/>
          <w:lang w:val="en-US" w:eastAsia="zh-CN"/>
        </w:rPr>
        <w:t>万元、福利费</w:t>
      </w:r>
      <w:r>
        <w:rPr>
          <w:rFonts w:hint="eastAsia" w:ascii="Times New Roman Regular" w:hAnsi="Times New Roman Regular" w:eastAsia="仿宋_GB2312" w:cs="Times New Roman Regular"/>
          <w:color w:val="auto"/>
          <w:sz w:val="32"/>
          <w:szCs w:val="32"/>
          <w:highlight w:val="none"/>
          <w:lang w:val="en-US" w:eastAsia="zh-CN"/>
        </w:rPr>
        <w:t>16.79</w:t>
      </w:r>
      <w:r>
        <w:rPr>
          <w:rFonts w:hint="default" w:ascii="Times New Roman Regular" w:hAnsi="Times New Roman Regular" w:eastAsia="仿宋_GB2312" w:cs="Times New Roman Regular"/>
          <w:color w:val="auto"/>
          <w:sz w:val="32"/>
          <w:szCs w:val="32"/>
          <w:highlight w:val="none"/>
          <w:lang w:val="en-US" w:eastAsia="zh-CN"/>
        </w:rPr>
        <w:t>万元、公务用车运行维护费</w:t>
      </w:r>
      <w:r>
        <w:rPr>
          <w:rFonts w:hint="eastAsia" w:ascii="Times New Roman Regular" w:hAnsi="Times New Roman Regular" w:eastAsia="仿宋_GB2312" w:cs="Times New Roman Regular"/>
          <w:color w:val="auto"/>
          <w:sz w:val="32"/>
          <w:szCs w:val="32"/>
          <w:highlight w:val="none"/>
          <w:lang w:val="en-US" w:eastAsia="zh-CN"/>
        </w:rPr>
        <w:t>2.21</w:t>
      </w:r>
      <w:r>
        <w:rPr>
          <w:rFonts w:hint="default" w:ascii="Times New Roman Regular" w:hAnsi="Times New Roman Regular" w:eastAsia="仿宋_GB2312" w:cs="Times New Roman Regular"/>
          <w:color w:val="auto"/>
          <w:sz w:val="32"/>
          <w:szCs w:val="32"/>
          <w:highlight w:val="none"/>
          <w:lang w:val="en-US" w:eastAsia="zh-CN"/>
        </w:rPr>
        <w:t>万元、其他交通费用</w:t>
      </w:r>
      <w:r>
        <w:rPr>
          <w:rFonts w:hint="eastAsia" w:ascii="Times New Roman Regular" w:hAnsi="Times New Roman Regular" w:eastAsia="仿宋_GB2312" w:cs="Times New Roman Regular"/>
          <w:color w:val="auto"/>
          <w:sz w:val="32"/>
          <w:szCs w:val="32"/>
          <w:highlight w:val="none"/>
          <w:lang w:val="en-US" w:eastAsia="zh-CN"/>
        </w:rPr>
        <w:t>8.17</w:t>
      </w:r>
      <w:r>
        <w:rPr>
          <w:rFonts w:hint="default" w:ascii="Times New Roman Regular" w:hAnsi="Times New Roman Regular" w:eastAsia="仿宋_GB2312" w:cs="Times New Roman Regular"/>
          <w:color w:val="auto"/>
          <w:sz w:val="32"/>
          <w:szCs w:val="32"/>
          <w:highlight w:val="none"/>
          <w:lang w:val="en-US" w:eastAsia="zh-CN"/>
        </w:rPr>
        <w:t>万元、其他商品和服务支出</w:t>
      </w:r>
      <w:r>
        <w:rPr>
          <w:rFonts w:hint="eastAsia" w:ascii="Times New Roman Regular" w:hAnsi="Times New Roman Regular" w:eastAsia="仿宋_GB2312" w:cs="Times New Roman Regular"/>
          <w:color w:val="auto"/>
          <w:sz w:val="32"/>
          <w:szCs w:val="32"/>
          <w:highlight w:val="none"/>
          <w:lang w:val="en-US" w:eastAsia="zh-CN"/>
        </w:rPr>
        <w:t>52.92</w:t>
      </w:r>
      <w:r>
        <w:rPr>
          <w:rFonts w:hint="default" w:ascii="Times New Roman Regular" w:hAnsi="Times New Roman Regular" w:eastAsia="仿宋_GB2312" w:cs="Times New Roman Regular"/>
          <w:color w:val="auto"/>
          <w:sz w:val="32"/>
          <w:szCs w:val="32"/>
          <w:highlight w:val="none"/>
          <w:lang w:val="en-US" w:eastAsia="zh-CN"/>
        </w:rPr>
        <w:t>万元</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生活补助</w:t>
      </w:r>
      <w:r>
        <w:rPr>
          <w:rFonts w:hint="eastAsia" w:ascii="Times New Roman Regular" w:hAnsi="Times New Roman Regular" w:eastAsia="仿宋_GB2312" w:cs="Times New Roman Regular"/>
          <w:color w:val="auto"/>
          <w:sz w:val="32"/>
          <w:szCs w:val="32"/>
          <w:highlight w:val="none"/>
          <w:lang w:val="en-US" w:eastAsia="zh-CN"/>
        </w:rPr>
        <w:t>28.87</w:t>
      </w:r>
      <w:r>
        <w:rPr>
          <w:rFonts w:hint="default" w:ascii="Times New Roman Regular" w:hAnsi="Times New Roman Regular" w:eastAsia="仿宋_GB2312" w:cs="Times New Roman Regular"/>
          <w:color w:val="auto"/>
          <w:sz w:val="32"/>
          <w:szCs w:val="32"/>
          <w:highlight w:val="none"/>
          <w:lang w:val="en-US" w:eastAsia="zh-CN"/>
        </w:rPr>
        <w:t>万元、奖励金1.</w:t>
      </w:r>
      <w:r>
        <w:rPr>
          <w:rFonts w:hint="eastAsia" w:ascii="Times New Roman Regular" w:hAnsi="Times New Roman Regular" w:eastAsia="仿宋_GB2312" w:cs="Times New Roman Regular"/>
          <w:color w:val="auto"/>
          <w:sz w:val="32"/>
          <w:szCs w:val="32"/>
          <w:highlight w:val="none"/>
          <w:lang w:val="en-US" w:eastAsia="zh-CN"/>
        </w:rPr>
        <w:t>37</w:t>
      </w:r>
      <w:r>
        <w:rPr>
          <w:rFonts w:hint="default" w:ascii="Times New Roman Regular" w:hAnsi="Times New Roman Regular" w:eastAsia="仿宋_GB2312" w:cs="Times New Roman Regular"/>
          <w:color w:val="auto"/>
          <w:sz w:val="32"/>
          <w:szCs w:val="32"/>
          <w:highlight w:val="none"/>
          <w:lang w:val="en-US" w:eastAsia="zh-CN"/>
        </w:rPr>
        <w:t>万元</w:t>
      </w:r>
      <w:r>
        <w:rPr>
          <w:rFonts w:hint="eastAsia" w:ascii="Times New Roman Regular" w:hAnsi="Times New Roman Regular" w:eastAsia="仿宋_GB2312" w:cs="Times New Roman Regular"/>
          <w:color w:val="auto"/>
          <w:sz w:val="32"/>
          <w:szCs w:val="32"/>
          <w:highlight w:val="none"/>
          <w:lang w:val="en-US" w:eastAsia="zh-CN"/>
        </w:rPr>
        <w:t>。</w:t>
      </w:r>
    </w:p>
    <w:p w14:paraId="79C8521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2024年我单位无</w:t>
      </w:r>
      <w:r>
        <w:rPr>
          <w:rFonts w:hint="default" w:ascii="Times New Roman Regular" w:hAnsi="Times New Roman Regular" w:eastAsia="仿宋_GB2312" w:cs="Times New Roman Regular"/>
          <w:color w:val="auto"/>
          <w:sz w:val="32"/>
          <w:szCs w:val="32"/>
          <w:highlight w:val="none"/>
          <w:lang w:val="en-US" w:eastAsia="zh-CN"/>
        </w:rPr>
        <w:t>一般公共预算“三公”经费预算</w:t>
      </w:r>
      <w:r>
        <w:rPr>
          <w:rFonts w:hint="eastAsia" w:ascii="Times New Roman Regular" w:hAnsi="Times New Roman Regular" w:eastAsia="仿宋_GB2312" w:cs="Times New Roman Regular"/>
          <w:color w:val="auto"/>
          <w:sz w:val="32"/>
          <w:szCs w:val="32"/>
          <w:highlight w:val="none"/>
          <w:lang w:val="en-US" w:eastAsia="zh-CN"/>
        </w:rPr>
        <w:t>，主要原因是我单位无一般公共预算财政拨款基本支出拨款收入，也没有使用一般公共预算财政拨款基本支出拨款安排的支出。</w:t>
      </w:r>
    </w:p>
    <w:p w14:paraId="24DE242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（二）项目支出</w:t>
      </w:r>
    </w:p>
    <w:p w14:paraId="0B36614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1、项目资金（包括财政资金、自筹资金等）安排落实、总投入等情况分析。</w:t>
      </w:r>
    </w:p>
    <w:p w14:paraId="1DC85B2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202</w:t>
      </w: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年年初项目支出预算973.8</w:t>
      </w:r>
      <w:r>
        <w:rPr>
          <w:rFonts w:hint="eastAsia" w:ascii="Times New Roman Regular" w:hAnsi="Times New Roman Regular" w:eastAsia="仿宋_GB2312" w:cs="Times New Roman Regular"/>
          <w:color w:val="auto"/>
          <w:sz w:val="32"/>
          <w:szCs w:val="32"/>
          <w:highlight w:val="none"/>
          <w:lang w:val="en-US" w:eastAsia="zh-CN"/>
        </w:rPr>
        <w:t>0</w:t>
      </w:r>
      <w:r>
        <w:rPr>
          <w:rFonts w:hint="default" w:ascii="Times New Roman Regular" w:hAnsi="Times New Roman Regular" w:eastAsia="仿宋_GB2312" w:cs="Times New Roman Regular"/>
          <w:color w:val="auto"/>
          <w:sz w:val="32"/>
          <w:szCs w:val="32"/>
          <w:highlight w:val="none"/>
          <w:lang w:val="en-US" w:eastAsia="zh-CN"/>
        </w:rPr>
        <w:t>万元，全年预算973.8</w:t>
      </w:r>
      <w:r>
        <w:rPr>
          <w:rFonts w:hint="eastAsia" w:ascii="Times New Roman Regular" w:hAnsi="Times New Roman Regular" w:eastAsia="仿宋_GB2312" w:cs="Times New Roman Regular"/>
          <w:color w:val="auto"/>
          <w:sz w:val="32"/>
          <w:szCs w:val="32"/>
          <w:highlight w:val="none"/>
          <w:lang w:val="en-US" w:eastAsia="zh-CN"/>
        </w:rPr>
        <w:t>0</w:t>
      </w:r>
      <w:r>
        <w:rPr>
          <w:rFonts w:hint="default" w:ascii="Times New Roman Regular" w:hAnsi="Times New Roman Regular" w:eastAsia="仿宋_GB2312" w:cs="Times New Roman Regular"/>
          <w:color w:val="auto"/>
          <w:sz w:val="32"/>
          <w:szCs w:val="32"/>
          <w:highlight w:val="none"/>
          <w:lang w:val="en-US" w:eastAsia="zh-CN"/>
        </w:rPr>
        <w:t>万元，实际支出</w:t>
      </w:r>
      <w:r>
        <w:rPr>
          <w:rFonts w:hint="eastAsia" w:ascii="Times New Roman Regular" w:hAnsi="Times New Roman Regular" w:eastAsia="仿宋_GB2312" w:cs="Times New Roman Regular"/>
          <w:color w:val="auto"/>
          <w:sz w:val="32"/>
          <w:szCs w:val="32"/>
          <w:highlight w:val="none"/>
          <w:lang w:val="en-US" w:eastAsia="zh-CN"/>
        </w:rPr>
        <w:t>951.92</w:t>
      </w:r>
      <w:r>
        <w:rPr>
          <w:rFonts w:hint="default" w:ascii="Times New Roman Regular" w:hAnsi="Times New Roman Regular" w:eastAsia="仿宋_GB2312" w:cs="Times New Roman Regular"/>
          <w:color w:val="auto"/>
          <w:sz w:val="32"/>
          <w:szCs w:val="32"/>
          <w:highlight w:val="none"/>
          <w:lang w:val="en-US" w:eastAsia="zh-CN"/>
        </w:rPr>
        <w:t>万元。项目支出是指单位为完成特定行政工作任务或事业发展目标而发生的支出，包括有关事业发展专项、专项业务费、基本建设支出等。</w:t>
      </w:r>
    </w:p>
    <w:p w14:paraId="7640B8C7">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项目资金（主要指财政资金）实际使用情况分析。</w:t>
      </w:r>
    </w:p>
    <w:p w14:paraId="410E85D0">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我</w:t>
      </w:r>
      <w:r>
        <w:rPr>
          <w:rFonts w:hint="eastAsia" w:ascii="Times New Roman Regular" w:hAnsi="Times New Roman Regular" w:eastAsia="仿宋_GB2312" w:cs="Times New Roman Regular"/>
          <w:color w:val="auto"/>
          <w:sz w:val="32"/>
          <w:szCs w:val="32"/>
          <w:highlight w:val="none"/>
          <w:lang w:val="en-US" w:eastAsia="zh-CN"/>
        </w:rPr>
        <w:t>单位</w:t>
      </w:r>
      <w:r>
        <w:rPr>
          <w:rFonts w:hint="default" w:ascii="Times New Roman Regular" w:hAnsi="Times New Roman Regular" w:eastAsia="仿宋_GB2312" w:cs="Times New Roman Regular"/>
          <w:color w:val="auto"/>
          <w:sz w:val="32"/>
          <w:szCs w:val="32"/>
          <w:highlight w:val="none"/>
          <w:lang w:val="en-US" w:eastAsia="zh-CN"/>
        </w:rPr>
        <w:t>是纳入部门预算的</w:t>
      </w:r>
      <w:r>
        <w:rPr>
          <w:rFonts w:hint="eastAsia" w:ascii="Times New Roman Regular" w:hAnsi="Times New Roman Regular" w:eastAsia="仿宋_GB2312" w:cs="Times New Roman Regular"/>
          <w:color w:val="auto"/>
          <w:sz w:val="32"/>
          <w:szCs w:val="32"/>
          <w:highlight w:val="none"/>
          <w:lang w:val="en-US" w:eastAsia="zh-CN"/>
        </w:rPr>
        <w:t>差额拨款</w:t>
      </w:r>
      <w:r>
        <w:rPr>
          <w:rFonts w:hint="default" w:ascii="Times New Roman Regular" w:hAnsi="Times New Roman Regular" w:eastAsia="仿宋_GB2312" w:cs="Times New Roman Regular"/>
          <w:color w:val="auto"/>
          <w:sz w:val="32"/>
          <w:szCs w:val="32"/>
          <w:highlight w:val="none"/>
          <w:lang w:val="en-US" w:eastAsia="zh-CN"/>
        </w:rPr>
        <w:t>公益一类事业单位，</w:t>
      </w:r>
      <w:r>
        <w:rPr>
          <w:rFonts w:hint="eastAsia" w:ascii="Times New Roman Regular" w:hAnsi="Times New Roman Regular" w:eastAsia="仿宋_GB2312" w:cs="Times New Roman Regular"/>
          <w:color w:val="auto"/>
          <w:sz w:val="32"/>
          <w:szCs w:val="32"/>
          <w:highlight w:val="none"/>
          <w:lang w:val="en-US" w:eastAsia="zh-CN"/>
        </w:rPr>
        <w:t>我</w:t>
      </w:r>
      <w:r>
        <w:rPr>
          <w:rFonts w:hint="default" w:ascii="Times New Roman Regular" w:hAnsi="Times New Roman Regular" w:eastAsia="仿宋_GB2312" w:cs="Times New Roman Regular"/>
          <w:color w:val="auto"/>
          <w:sz w:val="32"/>
          <w:szCs w:val="32"/>
          <w:highlight w:val="none"/>
          <w:lang w:val="en-US" w:eastAsia="zh-CN"/>
        </w:rPr>
        <w:t>单位无财政资金</w:t>
      </w:r>
      <w:r>
        <w:rPr>
          <w:rFonts w:hint="eastAsia" w:ascii="Times New Roman Regular" w:hAnsi="Times New Roman Regular" w:eastAsia="仿宋_GB2312" w:cs="Times New Roman Regular"/>
          <w:color w:val="auto"/>
          <w:sz w:val="32"/>
          <w:szCs w:val="32"/>
          <w:highlight w:val="none"/>
          <w:lang w:val="en-US" w:eastAsia="zh-CN"/>
        </w:rPr>
        <w:t>，使用财政非税专户资金</w:t>
      </w:r>
      <w:r>
        <w:rPr>
          <w:rFonts w:hint="default" w:ascii="Times New Roman Regular" w:hAnsi="Times New Roman Regular" w:eastAsia="仿宋_GB2312" w:cs="Times New Roman Regular"/>
          <w:color w:val="auto"/>
          <w:sz w:val="32"/>
          <w:szCs w:val="32"/>
          <w:highlight w:val="none"/>
          <w:lang w:val="en-US" w:eastAsia="zh-CN"/>
        </w:rPr>
        <w:t>。专项业务（工作）经费主要用于</w:t>
      </w:r>
      <w:r>
        <w:rPr>
          <w:rFonts w:hint="eastAsia" w:ascii="Times New Roman Regular" w:hAnsi="Times New Roman Regular" w:eastAsia="仿宋_GB2312" w:cs="Times New Roman Regular"/>
          <w:color w:val="auto"/>
          <w:sz w:val="32"/>
          <w:szCs w:val="32"/>
          <w:highlight w:val="none"/>
          <w:lang w:val="en-US" w:eastAsia="zh-CN"/>
        </w:rPr>
        <w:t>全面实现工程建设、政府采购、国有产权、自然资源四大领域项目全流程电子化交易；建成数字见证室，我市公共资源交易开启数字见证新时代；公共资源交易进入“智能辅助评标”新模式；实现跨省远程异地评标；开展数据治理，实现交易数据全省共享等；是继续提升电子化交易水平，以信息化促营商环境改善的工作经费。</w:t>
      </w:r>
    </w:p>
    <w:p w14:paraId="037CC6DA">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其中：办公费27.35万元，印刷费0.91万元，咨询费4.94万元，电费32.50万元，物业管理费75.68万元，差旅费11.11万元，维修（护）费118.82万元，租赁费66.00万元，培训费1.38万元，劳务费140.35万元，其他商品和服务支出136.85万元；房屋建筑物构建31.97万元，办公设备购置21.60万元，信息网络及软件购置更新282.46万元。</w:t>
      </w:r>
    </w:p>
    <w:p w14:paraId="613414F6">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left="0" w:leftChars="0"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项目资金管理情况分析，主要包括管理制度、办法的制订及执行情况。</w:t>
      </w:r>
    </w:p>
    <w:p w14:paraId="738F041E">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项目严格按照“申报</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审批</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实施</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验收”流程推进。由项目部门按照年初财政下达的项目资金预算来进行采购，经党</w:t>
      </w:r>
      <w:r>
        <w:rPr>
          <w:rFonts w:hint="eastAsia" w:ascii="Times New Roman Regular" w:hAnsi="Times New Roman Regular" w:eastAsia="仿宋_GB2312" w:cs="Times New Roman Regular"/>
          <w:color w:val="auto"/>
          <w:sz w:val="32"/>
          <w:szCs w:val="32"/>
          <w:highlight w:val="none"/>
          <w:lang w:val="en-US" w:eastAsia="zh-CN"/>
        </w:rPr>
        <w:t>组</w:t>
      </w:r>
      <w:r>
        <w:rPr>
          <w:rFonts w:hint="default" w:ascii="Times New Roman Regular" w:hAnsi="Times New Roman Regular" w:eastAsia="仿宋_GB2312" w:cs="Times New Roman Regular"/>
          <w:color w:val="auto"/>
          <w:sz w:val="32"/>
          <w:szCs w:val="32"/>
          <w:highlight w:val="none"/>
          <w:lang w:val="en-US" w:eastAsia="zh-CN"/>
        </w:rPr>
        <w:t>会会议通过后实行，并按照政府采购程序签订合同。项目实施验收完成后，由项目部门向财务部提交有关项目报销附件。财务部门根据上述报销资料进行初审，报财务分管领导审批后提交到财政归口科室审核，经财政下指标后,按照项目进度及合同约定支付。资金支出严格执行“三重一大”决策制度，严格按照专款专用原则支付项目资金。</w:t>
      </w:r>
    </w:p>
    <w:p w14:paraId="2014D4EC">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三、项目组织实施情况</w:t>
      </w:r>
    </w:p>
    <w:p w14:paraId="6184F902">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我单位在项目组织实施管理方面取得了显著成效。通过构建完善的项目组织体系、明确职责分工与协调机制、加强进度管理和质量管理等措施，确保了项目的顺利实施和高效推进。同时，我单位也将不断优化和完善项目实施管理的各个环节，提升电子化交易水平，</w:t>
      </w:r>
      <w:r>
        <w:rPr>
          <w:rFonts w:hint="eastAsia" w:ascii="Times New Roman Regular" w:hAnsi="Times New Roman Regular" w:eastAsia="仿宋_GB2312" w:cs="Times New Roman Regular"/>
          <w:color w:val="auto"/>
          <w:sz w:val="32"/>
          <w:szCs w:val="32"/>
          <w:highlight w:val="none"/>
          <w:lang w:val="en-US" w:eastAsia="zh-CN"/>
        </w:rPr>
        <w:t>改善</w:t>
      </w:r>
      <w:r>
        <w:rPr>
          <w:rFonts w:hint="default" w:ascii="Times New Roman Regular" w:hAnsi="Times New Roman Regular" w:eastAsia="仿宋_GB2312" w:cs="Times New Roman Regular"/>
          <w:color w:val="auto"/>
          <w:sz w:val="32"/>
          <w:szCs w:val="32"/>
          <w:highlight w:val="none"/>
          <w:lang w:val="en-US" w:eastAsia="zh-CN"/>
        </w:rPr>
        <w:t>营商环境。</w:t>
      </w:r>
    </w:p>
    <w:p w14:paraId="34A45B40">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在资金使用和管理方面，我单位严格按照财政制度相关要求，坚持专款专用，按项目核算，严格按照规定的范围、标准和程序，加强专项资金的使用管理，确保了专项资金使用管理的规范性、安全性和有效性。</w:t>
      </w:r>
    </w:p>
    <w:p w14:paraId="17535472">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四、资产管理情况</w:t>
      </w:r>
    </w:p>
    <w:p w14:paraId="59E8F1F9">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资产配置、管理、处置程序严格遵循各项要求。我单位对固定资产建立了台账，对固定资产进行了分类清查和盘点，确保资产的真实性和准确性，同时加强了固定资产的维护和保养工作，提高了固定资产的使用寿命和价值。增减固定资产，严格按照机关事务局及财政局的规定和要求办理审批手续。</w:t>
      </w:r>
    </w:p>
    <w:p w14:paraId="248A8DE9">
      <w:pPr>
        <w:keepNext w:val="0"/>
        <w:keepLines w:val="0"/>
        <w:pageBreakBefore w:val="0"/>
        <w:widowControl w:val="0"/>
        <w:numPr>
          <w:ilvl w:val="0"/>
          <w:numId w:val="2"/>
        </w:numPr>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政府性基金预算支出情况</w:t>
      </w:r>
    </w:p>
    <w:p w14:paraId="67B51BA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202</w:t>
      </w: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年</w:t>
      </w:r>
      <w:r>
        <w:rPr>
          <w:rFonts w:hint="eastAsia" w:ascii="Times New Roman Regular" w:hAnsi="Times New Roman Regular" w:eastAsia="仿宋_GB2312" w:cs="Times New Roman Regular"/>
          <w:color w:val="auto"/>
          <w:sz w:val="32"/>
          <w:szCs w:val="32"/>
          <w:highlight w:val="none"/>
          <w:lang w:val="en-US" w:eastAsia="zh-CN"/>
        </w:rPr>
        <w:t>我</w:t>
      </w:r>
      <w:r>
        <w:rPr>
          <w:rFonts w:hint="default" w:ascii="Times New Roman Regular" w:hAnsi="Times New Roman Regular" w:eastAsia="仿宋_GB2312" w:cs="Times New Roman Regular"/>
          <w:color w:val="auto"/>
          <w:sz w:val="32"/>
          <w:szCs w:val="32"/>
          <w:highlight w:val="none"/>
          <w:lang w:val="en-US" w:eastAsia="zh-CN"/>
        </w:rPr>
        <w:t>单位无政府性基金预算支出。</w:t>
      </w:r>
    </w:p>
    <w:p w14:paraId="2E3E0DB9">
      <w:pPr>
        <w:keepNext w:val="0"/>
        <w:keepLines w:val="0"/>
        <w:pageBreakBefore w:val="0"/>
        <w:widowControl w:val="0"/>
        <w:numPr>
          <w:ilvl w:val="0"/>
          <w:numId w:val="2"/>
        </w:numPr>
        <w:kinsoku/>
        <w:wordWrap/>
        <w:overflowPunct/>
        <w:topLinePunct w:val="0"/>
        <w:autoSpaceDE/>
        <w:autoSpaceDN/>
        <w:bidi w:val="0"/>
        <w:adjustRightInd/>
        <w:snapToGrid w:val="0"/>
        <w:spacing w:line="520" w:lineRule="exact"/>
        <w:ind w:left="0" w:leftChars="0" w:firstLine="0" w:firstLineChars="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国有资本经营预算支出情况</w:t>
      </w:r>
    </w:p>
    <w:p w14:paraId="6E1221F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202</w:t>
      </w:r>
      <w:r>
        <w:rPr>
          <w:rFonts w:hint="default" w:ascii="Times New Roman Regular" w:hAnsi="Times New Roman Regular" w:eastAsia="仿宋_GB2312" w:cs="Times New Roman Regular"/>
          <w:color w:val="auto"/>
          <w:sz w:val="32"/>
          <w:szCs w:val="32"/>
          <w:highlight w:val="none"/>
          <w:lang w:eastAsia="zh-CN"/>
        </w:rPr>
        <w:t>4</w:t>
      </w:r>
      <w:r>
        <w:rPr>
          <w:rFonts w:hint="default" w:ascii="Times New Roman Regular" w:hAnsi="Times New Roman Regular" w:eastAsia="仿宋_GB2312" w:cs="Times New Roman Regular"/>
          <w:color w:val="auto"/>
          <w:sz w:val="32"/>
          <w:szCs w:val="32"/>
          <w:highlight w:val="none"/>
          <w:lang w:val="en-US" w:eastAsia="zh-CN"/>
        </w:rPr>
        <w:t>年</w:t>
      </w:r>
      <w:r>
        <w:rPr>
          <w:rFonts w:hint="eastAsia" w:ascii="Times New Roman Regular" w:hAnsi="Times New Roman Regular" w:eastAsia="仿宋_GB2312" w:cs="Times New Roman Regular"/>
          <w:color w:val="auto"/>
          <w:sz w:val="32"/>
          <w:szCs w:val="32"/>
          <w:highlight w:val="none"/>
          <w:lang w:val="en-US" w:eastAsia="zh-CN"/>
        </w:rPr>
        <w:t>我</w:t>
      </w:r>
      <w:r>
        <w:rPr>
          <w:rFonts w:hint="default" w:ascii="Times New Roman Regular" w:hAnsi="Times New Roman Regular" w:eastAsia="仿宋_GB2312" w:cs="Times New Roman Regular"/>
          <w:color w:val="auto"/>
          <w:sz w:val="32"/>
          <w:szCs w:val="32"/>
          <w:highlight w:val="none"/>
          <w:lang w:val="en-US" w:eastAsia="zh-CN"/>
        </w:rPr>
        <w:t>单位无国有资本经营预算支出。</w:t>
      </w:r>
    </w:p>
    <w:p w14:paraId="0AE9BCE8">
      <w:pPr>
        <w:keepNext w:val="0"/>
        <w:keepLines w:val="0"/>
        <w:pageBreakBefore w:val="0"/>
        <w:widowControl w:val="0"/>
        <w:numPr>
          <w:ilvl w:val="0"/>
          <w:numId w:val="2"/>
        </w:numPr>
        <w:kinsoku/>
        <w:wordWrap/>
        <w:overflowPunct/>
        <w:topLinePunct w:val="0"/>
        <w:autoSpaceDE/>
        <w:autoSpaceDN/>
        <w:bidi w:val="0"/>
        <w:adjustRightInd/>
        <w:snapToGrid w:val="0"/>
        <w:spacing w:line="520" w:lineRule="exact"/>
        <w:ind w:left="0" w:leftChars="0" w:firstLine="0" w:firstLineChars="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社会保险基金预算支出情况</w:t>
      </w:r>
    </w:p>
    <w:p w14:paraId="571C1B0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202</w:t>
      </w:r>
      <w:r>
        <w:rPr>
          <w:rFonts w:hint="default" w:ascii="Times New Roman Regular" w:hAnsi="Times New Roman Regular" w:eastAsia="仿宋_GB2312" w:cs="Times New Roman Regular"/>
          <w:color w:val="auto"/>
          <w:sz w:val="32"/>
          <w:szCs w:val="32"/>
          <w:highlight w:val="none"/>
          <w:lang w:eastAsia="zh-CN"/>
        </w:rPr>
        <w:t>4</w:t>
      </w:r>
      <w:r>
        <w:rPr>
          <w:rFonts w:hint="default" w:ascii="Times New Roman Regular" w:hAnsi="Times New Roman Regular" w:eastAsia="仿宋_GB2312" w:cs="Times New Roman Regular"/>
          <w:color w:val="auto"/>
          <w:sz w:val="32"/>
          <w:szCs w:val="32"/>
          <w:highlight w:val="none"/>
          <w:lang w:val="en-US" w:eastAsia="zh-CN"/>
        </w:rPr>
        <w:t>年</w:t>
      </w:r>
      <w:r>
        <w:rPr>
          <w:rFonts w:hint="eastAsia" w:ascii="Times New Roman Regular" w:hAnsi="Times New Roman Regular" w:eastAsia="仿宋_GB2312" w:cs="Times New Roman Regular"/>
          <w:color w:val="auto"/>
          <w:sz w:val="32"/>
          <w:szCs w:val="32"/>
          <w:highlight w:val="none"/>
          <w:lang w:val="en-US" w:eastAsia="zh-CN"/>
        </w:rPr>
        <w:t>我</w:t>
      </w:r>
      <w:r>
        <w:rPr>
          <w:rFonts w:hint="default" w:ascii="Times New Roman Regular" w:hAnsi="Times New Roman Regular" w:eastAsia="仿宋_GB2312" w:cs="Times New Roman Regular"/>
          <w:color w:val="auto"/>
          <w:sz w:val="32"/>
          <w:szCs w:val="32"/>
          <w:highlight w:val="none"/>
          <w:lang w:val="en-US" w:eastAsia="zh-CN"/>
        </w:rPr>
        <w:t>单位无社会保险基金预算支出。</w:t>
      </w:r>
    </w:p>
    <w:p w14:paraId="40E98FA5">
      <w:pPr>
        <w:keepNext w:val="0"/>
        <w:keepLines w:val="0"/>
        <w:pageBreakBefore w:val="0"/>
        <w:widowControl w:val="0"/>
        <w:numPr>
          <w:ilvl w:val="0"/>
          <w:numId w:val="2"/>
        </w:numPr>
        <w:kinsoku/>
        <w:wordWrap/>
        <w:overflowPunct/>
        <w:topLinePunct w:val="0"/>
        <w:autoSpaceDE/>
        <w:autoSpaceDN/>
        <w:bidi w:val="0"/>
        <w:adjustRightInd/>
        <w:snapToGrid w:val="0"/>
        <w:spacing w:line="520" w:lineRule="exact"/>
        <w:ind w:left="0" w:leftChars="0" w:firstLine="0" w:firstLineChars="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部门整体支出绩效情况</w:t>
      </w:r>
    </w:p>
    <w:p w14:paraId="2691D231">
      <w:pPr>
        <w:keepNext w:val="0"/>
        <w:keepLines w:val="0"/>
        <w:pageBreakBefore w:val="0"/>
        <w:widowControl w:val="0"/>
        <w:numPr>
          <w:ilvl w:val="0"/>
          <w:numId w:val="3"/>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综合评价结论。</w:t>
      </w:r>
    </w:p>
    <w:p w14:paraId="4A9728A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根据部门整体支出绩效评价指标规定的内容，经我单位认真自评，总评分为100分，实际得分96.22分，202</w:t>
      </w: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年度部门整体绩效评价为优秀。</w:t>
      </w:r>
    </w:p>
    <w:p w14:paraId="5486636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我单位按照市级部门预决算编制通知和有关要求，按时完成预决算编制工作，并及时在网上进行预决算公开。部门整体绩效目标编制完整、合理，项目绩效目标编制明确、量化。按要求严格预算执行管理，及时足额将专项资金按指标拨付。严格执行“三公经费”预算，按要求及时公开预算、决算、绩效等信息。按要求及时、准确、全面开展资产清查工作，上报国有资产报表数据真实、准确、全面。内部控制制度健全完整并执行良好，在本年度内未出现廉政风险。</w:t>
      </w:r>
    </w:p>
    <w:p w14:paraId="7DE4F6C9">
      <w:pPr>
        <w:keepNext w:val="0"/>
        <w:keepLines w:val="0"/>
        <w:pageBreakBefore w:val="0"/>
        <w:widowControl w:val="0"/>
        <w:numPr>
          <w:ilvl w:val="0"/>
          <w:numId w:val="4"/>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评价指标分析。</w:t>
      </w:r>
    </w:p>
    <w:p w14:paraId="686F4B6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2024年，</w:t>
      </w:r>
      <w:r>
        <w:rPr>
          <w:rFonts w:hint="eastAsia" w:ascii="Times New Roman Regular" w:hAnsi="Times New Roman Regular" w:eastAsia="仿宋_GB2312" w:cs="Times New Roman Regular"/>
          <w:color w:val="auto"/>
          <w:sz w:val="32"/>
          <w:szCs w:val="32"/>
          <w:highlight w:val="none"/>
          <w:lang w:val="en-US" w:eastAsia="zh-CN"/>
        </w:rPr>
        <w:t>本单位</w:t>
      </w:r>
      <w:r>
        <w:rPr>
          <w:rFonts w:hint="default" w:ascii="Times New Roman Regular" w:hAnsi="Times New Roman Regular" w:eastAsia="仿宋_GB2312" w:cs="Times New Roman Regular"/>
          <w:color w:val="auto"/>
          <w:sz w:val="32"/>
          <w:szCs w:val="32"/>
          <w:highlight w:val="none"/>
          <w:lang w:val="en-US" w:eastAsia="zh-CN"/>
        </w:rPr>
        <w:t>坚持以习近平新时代中国特色社会主义思想为指导，全面贯彻落实党的二十大和二十届二中、三中全会精神，锚定“三高四新”美好蓝图，在市委市政府的正确领导下，坚持守正创新，勇毅前行，全市公共资源交易工作稳步向前，营商环境不断优化。全年全市完成公共资源进场交易项目1534宗，同比增长23.81%；交易总额293.74亿元，同比增长18.59%，增收资金1555.53万元，节约资金11.86亿元，实现交易总量与交易总额“双量齐增”，交易总额位列全省14个市州第5，创历史新高。</w:t>
      </w:r>
    </w:p>
    <w:p w14:paraId="1D63746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w:t>
      </w:r>
      <w:r>
        <w:rPr>
          <w:rFonts w:hint="eastAsia" w:ascii="Times New Roman Regular" w:hAnsi="Times New Roman Regular" w:eastAsia="仿宋_GB2312" w:cs="Times New Roman Regular"/>
          <w:color w:val="auto"/>
          <w:sz w:val="32"/>
          <w:szCs w:val="32"/>
          <w:highlight w:val="none"/>
          <w:lang w:val="en-US" w:eastAsia="zh-CN"/>
        </w:rPr>
        <w:t>1</w:t>
      </w:r>
      <w:r>
        <w:rPr>
          <w:rFonts w:hint="default" w:ascii="Times New Roman Regular" w:hAnsi="Times New Roman Regular" w:eastAsia="仿宋_GB2312" w:cs="Times New Roman Regular"/>
          <w:color w:val="auto"/>
          <w:sz w:val="32"/>
          <w:szCs w:val="32"/>
          <w:highlight w:val="none"/>
          <w:lang w:val="en-US" w:eastAsia="zh-CN"/>
        </w:rPr>
        <w:t>）强化政治建设，凝聚奋勇拼搏工作合力</w:t>
      </w:r>
    </w:p>
    <w:p w14:paraId="472D373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1.抓实理论学习，政治站位不断提升。坚持理论联系实际，采取集体学习与个人自学，线上学习与线下学习相结合的方式，深入学习贯彻习近平新时代中国特色社会主义思想。党组开展“第一议题”学习11次，组织党组理论学习中心组集体学习12次，开展党纪学习教育4次。组织业务骨干前往河南焦裕禄干部学院参加“传承红色基因提升公共资源交易服务‘5+10’产业体系能力”培训班。特别是深入学习贯彻党的二十届三中全会精神、省委沈晓明书记在怀化调研讲话精神和11月6日市委许忠建书记调研怀化市公共资源交易的指示要求，积极开展解放思想大讨论活动，结合实际制定了相关工作落实措施。全体干部职工切实用实际行动深刻领悟“两个确立”的决定性意义，坚决做到“两个维护”的思想自觉、政治自觉和行动自觉。</w:t>
      </w:r>
    </w:p>
    <w:p w14:paraId="42BB8EB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抓好基层党建，严肃党内政治生活。着力推动“四强”支部建设，抓实抓细在职和退休人员党支部工作，党建创新与争优氛围浓厚。积极落实民族宗教、工会、妇联、关心下一代等群团工作，支持国防和军队建设，做好民族团结进步工作。今年，党组专题研究党建工作2次，召开机关党支部组织生活会1次，机关党支部支委会12次，组织党员集中学习10次，“一月一课一片一实践”活动12次，积极开展基层党组织书记上党课、党员“过政治生日”、党员上微党课活动，充分运用主题党日，前往安江农校纪念园开展“学习袁隆平、争做一粒好种子”党性教育。实行党员积分管理，把每一名党员日常履行岗位职责等情况纳入积分内容，进一步提升了支部标准化规范化建设水平，推动党的政策在基层落地落实。</w:t>
      </w:r>
    </w:p>
    <w:p w14:paraId="6D7874E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3.坚持思想引领，把牢意识形态主动权。全面落实意识形态和网络意识形态工作责任制，专题研究宣传思想文化及意识形态、网络意识形态工作2次，将意识形态工作及“作风建设年”活动纳入党组全年重点工作，完善《意识形态风险防控工作预案》，建立意识形态安全管理机制，安排专人加强舆情监控，全年实现0舆情。坚持强化舆论引导，切实用好主流媒体阵地，严格落实新闻发布“三审制”，全年在省、市级媒体以及门户网站发布新闻80篇，其他各类信息16篇，为宣传“福地怀化”贡献正能量。特别是组织开展新中国成立75周年庆祝活动，不断增强干部职工的文化自信、历史自信。</w:t>
      </w:r>
    </w:p>
    <w:p w14:paraId="0C0374C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4.抓好队伍建设，形成干事创业新局面。坚持以上率下，严格执行民主集中制，集体决策“三重一大”事项15项，按要求开展主题教育专题民主生活会，做到既讲原则又讲团结，进一步增强凝聚力、战斗力。全年未发生“七个有之”、搞团团伙伙、“小圈子”、利益集团现象，政治生态风清气正。组织开展“流动红旗部室”“服务明星”评比活动4次，正向激励全体干部职工干事创业的热情，有效提升交易服务质量。</w:t>
      </w:r>
    </w:p>
    <w:p w14:paraId="55D2A39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w:t>
      </w:r>
      <w:r>
        <w:rPr>
          <w:rFonts w:hint="eastAsia" w:ascii="Times New Roman Regular" w:hAnsi="Times New Roman Regular" w:eastAsia="仿宋_GB2312" w:cs="Times New Roman Regular"/>
          <w:color w:val="auto"/>
          <w:sz w:val="32"/>
          <w:szCs w:val="32"/>
          <w:highlight w:val="none"/>
          <w:lang w:val="en-US" w:eastAsia="zh-CN"/>
        </w:rPr>
        <w:t>2</w:t>
      </w:r>
      <w:r>
        <w:rPr>
          <w:rFonts w:hint="default" w:ascii="Times New Roman Regular" w:hAnsi="Times New Roman Regular" w:eastAsia="仿宋_GB2312" w:cs="Times New Roman Regular"/>
          <w:color w:val="auto"/>
          <w:sz w:val="32"/>
          <w:szCs w:val="32"/>
          <w:highlight w:val="none"/>
          <w:lang w:val="en-US" w:eastAsia="zh-CN"/>
        </w:rPr>
        <w:t>）强化履职尽责，推动公共资源交易高质量发展</w:t>
      </w:r>
    </w:p>
    <w:p w14:paraId="51E7E5F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1.紧扣主责主业，服务重点项目跑出“加速度”。为“5+10”现代化产业体系、高标准农田等重点建设项目开辟绿色通道，优先提供项目注册、场地、人员等保障，制定“24小时”服务等制度助力全市重点项目跑出“加速度”。全年服务工程建设类项目666宗，同比上升26.14%；自然资源类项目232宗，同比上升51.63%，其中，涉重点产业交易项目679宗，成交金额196.01亿元。</w:t>
      </w:r>
    </w:p>
    <w:p w14:paraId="19E99F8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聚焦目标引领，落实上级决策展现“新作为”。按要求落实习近平总书记重要批示、中央、省委重要部署及市委市政府“五新四城”战略重点工作任务清单，坚持法治思维，高标准完成中央法治督察组法治督查工作。制定《落实省委书记沈晓明在怀化调研讲话精神的工作方案》，形成落实措施6项。制定《2024年营商环境评价指标提升工作方案》《关于印发实施全面深化改革及改革攻坚行动工作任务清单的通知》，对标对表、突出重点、从严从细落实全省优化营商环境招标投标评价指标23项，确保以考促公共资源交易服务质量提升。</w:t>
      </w:r>
    </w:p>
    <w:p w14:paraId="5E2A255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3.勇于开拓创新，信息化建设迈上“新台阶”。坚持以信息化建设为抓手，全面实现项目招标、投标、开标、评标、定标和网络竞价全流程电子化交易，推行“一站式”综合服务，市场主体“足不出户”即可一键投标。全面梳理现行交易平台运行过程中存在的痛点、难点、堵点问题，按照全省“六统一”要求，整治“顶层设计、技术标准、主干系统、质量管控、运行机制、数据接口”不到位问题，推动公共资源交易信息化建设。</w:t>
      </w:r>
    </w:p>
    <w:p w14:paraId="18B9C9C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4.切实降本减负，市场主体注入“新活力”。全面推广应用电子保函（保险），今年工程建设项目使用非现金缴纳保证金占比率在去年93.05%的基础上提升至99.27%，为企业减少占用资金8.97亿元。积极推动移动数字证书(CA)全国互认，目前已与9省72个市州公共资源交易机构签订了协议，推进全国范围内的移动数字证书（CA）互认，推动实现“一地办理，全国通用”，</w:t>
      </w:r>
    </w:p>
    <w:p w14:paraId="2998F8A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切实降低企业交易成本。</w:t>
      </w:r>
    </w:p>
    <w:p w14:paraId="43CC26C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w:t>
      </w:r>
      <w:r>
        <w:rPr>
          <w:rFonts w:hint="eastAsia" w:ascii="Times New Roman Regular" w:hAnsi="Times New Roman Regular" w:eastAsia="仿宋_GB2312" w:cs="Times New Roman Regular"/>
          <w:color w:val="auto"/>
          <w:sz w:val="32"/>
          <w:szCs w:val="32"/>
          <w:highlight w:val="none"/>
          <w:lang w:val="en-US" w:eastAsia="zh-CN"/>
        </w:rPr>
        <w:t>3</w:t>
      </w:r>
      <w:r>
        <w:rPr>
          <w:rFonts w:hint="default" w:ascii="Times New Roman Regular" w:hAnsi="Times New Roman Regular" w:eastAsia="仿宋_GB2312" w:cs="Times New Roman Regular"/>
          <w:color w:val="auto"/>
          <w:sz w:val="32"/>
          <w:szCs w:val="32"/>
          <w:highlight w:val="none"/>
          <w:lang w:val="en-US" w:eastAsia="zh-CN"/>
        </w:rPr>
        <w:t>）强化守正创新，深化公共资源交易平台体系改革</w:t>
      </w:r>
    </w:p>
    <w:p w14:paraId="39D9657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1.科技创新引领，数字赋能项目交易。建成数字见证室，开启对进场交易的所有项目全天候、全流程、全要素线上见证服务，实现评标室、见证室、监督室“三方通话”，自动生成数字见证报告，减少人员接触，降低廉政风险。在全省率先应用智能辅助评标功能，通过人机协作，提高交易项目的评审效率和准确率。开展数据治理等工作，不断健全统一规范、信息共享的交易平台体系。</w:t>
      </w:r>
    </w:p>
    <w:p w14:paraId="5DA9112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勇于先行先试，积极发挥试点作用。积极完成农村土地入市交易、自然资源资产组合项目交易试点工作，为生态产品价值实现机制改革提供宝贵经验。11月25日，全省首宗自然资源资产组合项目--通道侗族自治县地连国有林场绿色富民示范项目在市交易中心以拍卖的方式顺利成交，成交额590万元，推动了我市“碳汇”等生态产品价值实现。在交易过程中，我们主动对接上级部门，争取新建了农村集体经营性建设用地交易模块、完善了交易流程和监督机制，为农村土地交易和自然资源资产组合项目交易提供了安全、稳定、透明的交易环境。</w:t>
      </w:r>
    </w:p>
    <w:p w14:paraId="072FE6C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3.筑牢信用基石，营造诚信社会氛围。擦亮怀化公共资源交易领域信用体系建设新名片，“信用+招标代理”应用场景建设项目入列全省试点。制定《怀化市公共资源交易招标代理机构现场行为信用评价细则（试行）》，对招标代理机构现场行为进行考评，10月28日，怀化市公共资源交易招标代理机构信用评价管理系统上线运行。全年完成代理机构信用建档147家，建档率达94%以上，信用核查数据68441条，成功开展信用修复1617件。</w:t>
      </w:r>
    </w:p>
    <w:p w14:paraId="24359B7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w:t>
      </w: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）强化清廉交易，打造阳光透明交易环境</w:t>
      </w:r>
    </w:p>
    <w:p w14:paraId="58B9CAF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1.打响“攻坚战”，精准解决突出问题。树立系统思维，健全公共资源交易平台体系，强化源头治理，健全腐败防惩机制。根据省委、省政府、市委、市政府关于开展公共资源交易领域突出问题专项整治攻坚战的部署安排，制定了《怀化市公共资源交易中心落实全省公共资源交易领域突出问题专项整治攻坚战工作方案》，全力破解招标文件条款设置“量身定制”、专家评审滥用自由裁量权、围标串标及“提篮子”等问题乱象。按照省交易中心公共资源交易平台一体化工作部署要求，建成了集26个主干系统为一体的公共资源交易平台，深度融入了全省公共资源交易“一张网”，实现互联互通、信息共享。按省发改委要求完成了我市2021-2023年度的政府采购、工程建设、国有产权交易项目数据报送工作，推动专项整治工作不断深入。</w:t>
      </w:r>
    </w:p>
    <w:p w14:paraId="213D6F6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运用“大数据”，驰而不息正风肃纪。积极推进远程异地评标，共享专家资源，破除“熟人圈”，防止围猎专家，实现远程异地评标省内全覆盖，并与河南等3省4市开展跨省合作，完成远程异地评标主场项目132个，副场55个，覆盖率达100%。建设并运用评标专家劳务报酬线上支付系统。运用“啄木鸟”围标串标预警系统，组建专家团队定期分析预警线索188条，推送怀化市靖州县农村产业融合发展示范园建设项目（二期）等3条可疑线索至市公共资源交易管理联席会议办公室及相关行政监督部门，不断强化“发现、移交、核查、处理、反馈”问题查处闭环管理机制的运用。</w:t>
      </w:r>
    </w:p>
    <w:p w14:paraId="5B4577B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3.推进“规范化”，着力防范化解风险。不断规范交易现场管理，对评标室、评审专家信息实施密闭管理，做到评标期间评标区除评审专家外其他人员“零进入”，切实有效防止围猎评标专家。智能化监督评标专家行为，通过佩戴智能胸牌，实时监测评标专家言行，适时对异常行为发出预警并记录，有效降低了廉政风险，确保项目交易公平公正。规范交易流程，完善《怀化市公共资源交易进场项目受理指南及项目交易流程》《电子评标(审)服务规范》，制定《怀化市公共资源交易中心数字见证与综合调度工作规程》，堵塞公共资源交易流程漏洞，促进公平交易。</w:t>
      </w:r>
    </w:p>
    <w:p w14:paraId="386F9C0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w:t>
      </w:r>
      <w:r>
        <w:rPr>
          <w:rFonts w:hint="eastAsia" w:ascii="Times New Roman Regular" w:hAnsi="Times New Roman Regular" w:eastAsia="仿宋_GB2312" w:cs="Times New Roman Regular"/>
          <w:color w:val="auto"/>
          <w:sz w:val="32"/>
          <w:szCs w:val="32"/>
          <w:highlight w:val="none"/>
          <w:lang w:val="en-US" w:eastAsia="zh-CN"/>
        </w:rPr>
        <w:t>5</w:t>
      </w:r>
      <w:r>
        <w:rPr>
          <w:rFonts w:hint="default" w:ascii="Times New Roman Regular" w:hAnsi="Times New Roman Regular" w:eastAsia="仿宋_GB2312" w:cs="Times New Roman Regular"/>
          <w:color w:val="auto"/>
          <w:sz w:val="32"/>
          <w:szCs w:val="32"/>
          <w:highlight w:val="none"/>
          <w:lang w:val="en-US" w:eastAsia="zh-CN"/>
        </w:rPr>
        <w:t>）强化自身建设，锤炼过硬优良作风</w:t>
      </w:r>
    </w:p>
    <w:p w14:paraId="7FC7B1F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1.坚持全面从严治党，认真落实主体责任。全年专题研究党风廉政建设4次，制定党风廉政和反腐败工作要点，深化运用监督执纪“四种”形态，认真开展廉政教育和廉政谈话活动，切实做到以案为鉴、警钟长鸣。认真学习市纪委监委下发的《案例通报》，常态化开展廉政教育9次，谈心谈话200余人次，做到全覆盖，组织全体干部职工前往怀化市清廉文化教育馆，用身边人身边事开展现场警示教育，筑牢廉洁自律防线。</w:t>
      </w:r>
    </w:p>
    <w:p w14:paraId="7106749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强化严格监督检查，严明各项纪律规矩。严格对照中央八项规定及其实施细则精神和《党政机关厉行节约反对浪费条例》，对“三公经费”、公务接待、办公用房使用、公务接待等情况认真开展了自查自纠。开展领导班子日常巡察24次，对发现的58个问题立行立改。全年实现0违纪。开展针对网络威胁情报的研判和监测防护工作4次，督促做好网络安全联合防御工作，扎实推进法治建设、平安建设、消防安全、信访等一系列工作，开展消防安全专题培训2次，排查风险隐患2项，播放宣传标语42条，积极依法依规妥善处理信访事项1件。全年做到0安全生产事故。</w:t>
      </w:r>
    </w:p>
    <w:p w14:paraId="37FE09A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3.持续坚持文化润心，涵养清廉精神境界。在二楼开标大厅和专家通道精心打造廉政文化墙，让各方交易主体和干部职工在潜移默化中增强廉洁意识。2024年2月，在全体干部职工大会上表彰了2023年选树的2名清廉典型和6户清廉家庭，传播了正能量。组织干部职工及家属参加“一步一清廉·清风伴我行”登山等清廉文化系列活动，收集书画、清廉家书等作品20余份，通过寓教于乐的方式，不断涵养清正廉洁好家风。</w:t>
      </w:r>
    </w:p>
    <w:p w14:paraId="5D0A9E0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4.坚守为民初心使命，办好民生福祉实事。密切联系群众，深入基层，开展调查研究，结合实际制定《怀化市公共资源交易中心关于开展落实“四下基层”制度为群众办实事解难题活动的实施方案》，为群众办实事解难题38件，召开“阳光透明”公共资源交易开放日活动，开展“一把手走流程”活动，收到群众建议2条，解决问题10个，有效提升交易现场管理服务水平。深入洪江市深渡苗族乡深渡村、城北街道龙塘社区，围绕乡村振兴和人居环境改善开展调研，解决群众急难愁盼问题13个，树牢为民办实事良好形象。</w:t>
      </w:r>
    </w:p>
    <w:p w14:paraId="79E2DC8D">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九、存在的问题及原因分析</w:t>
      </w:r>
    </w:p>
    <w:p w14:paraId="5069E50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1.项目支出预算执行进度不均衡，预算执行过程中，部分项目资金支出进度缓慢，而有些项目则出现资金集中支付的情况，导致整体预算执行进度不均衡。    </w:t>
      </w:r>
    </w:p>
    <w:p w14:paraId="7E420F17">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w:t>
      </w:r>
      <w:r>
        <w:rPr>
          <w:rFonts w:hint="default" w:ascii="Times New Roman Regular" w:hAnsi="Times New Roman Regular" w:eastAsia="仿宋_GB2312" w:cs="Times New Roman Regular"/>
          <w:color w:val="auto"/>
          <w:sz w:val="32"/>
          <w:szCs w:val="32"/>
          <w:highlight w:val="none"/>
          <w:lang w:val="en-US" w:eastAsia="zh-CN"/>
        </w:rPr>
        <w:t>管理制度有待完善和健全，部分预算绩效管理工作开展不到位，预算绩效管理意识有待提高，整体绩效指标中的个性化指标有待进一步完善。</w:t>
      </w:r>
    </w:p>
    <w:p w14:paraId="32087903">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十、下一步改进措施</w:t>
      </w:r>
    </w:p>
    <w:p w14:paraId="036EB028">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本着“谁支出，谁负责”的原则，我单位所有预算项目开展预算绩效日常监控，根据财政支出序时进度要求及时实现支出；定期对绩效监控信息进行收集、审核、分析、汇总；定期分析未达到绩效目标的原因，适时调整、不断改进、及时采取纠偏措施。今后将不断完善管理机制，优化管理流程，做到预算编制有目标、预算执行有监控、预算完成有评价，实现财政预算绩效管理工作常态化、规范化。严格预算约束，加快支出进度，增强预算执行的严肃性和实效性，为更好实现预算绩效目标提供有力保障。</w:t>
      </w:r>
    </w:p>
    <w:p w14:paraId="0AD81E47">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十一、绩效自评结果拟应用和公开情况</w:t>
      </w:r>
    </w:p>
    <w:p w14:paraId="2DDCCCB7">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我单位</w:t>
      </w:r>
      <w:r>
        <w:rPr>
          <w:rFonts w:hint="default" w:ascii="Times New Roman Regular" w:hAnsi="Times New Roman Regular" w:eastAsia="仿宋_GB2312" w:cs="Times New Roman Regular"/>
          <w:color w:val="auto"/>
          <w:sz w:val="32"/>
          <w:szCs w:val="32"/>
          <w:highlight w:val="none"/>
          <w:lang w:val="en-US" w:eastAsia="zh-CN"/>
        </w:rPr>
        <w:t>将针对绩效自评中发现的问题，加强与相关业务部门的沟通协调，采取切实可行的整改举措并落实到位，进一步重视绩效考核激励作用，扎实做好绩效评价工作，提高财政资金使用效益。同时，按照统一部署，在</w:t>
      </w:r>
      <w:r>
        <w:rPr>
          <w:rFonts w:hint="eastAsia" w:ascii="Times New Roman Regular" w:hAnsi="Times New Roman Regular" w:eastAsia="仿宋_GB2312" w:cs="Times New Roman Regular"/>
          <w:color w:val="auto"/>
          <w:sz w:val="32"/>
          <w:szCs w:val="32"/>
          <w:highlight w:val="none"/>
          <w:lang w:val="en-US" w:eastAsia="zh-CN"/>
        </w:rPr>
        <w:t>我单位</w:t>
      </w:r>
      <w:r>
        <w:rPr>
          <w:rFonts w:hint="default" w:ascii="Times New Roman Regular" w:hAnsi="Times New Roman Regular" w:eastAsia="仿宋_GB2312" w:cs="Times New Roman Regular"/>
          <w:color w:val="auto"/>
          <w:sz w:val="32"/>
          <w:szCs w:val="32"/>
          <w:highlight w:val="none"/>
          <w:lang w:val="en-US" w:eastAsia="zh-CN"/>
        </w:rPr>
        <w:t>门户网站公开2024年部门整体支出绩效自评报告，接受社会监督。</w:t>
      </w:r>
    </w:p>
    <w:p w14:paraId="715615D7">
      <w:pPr>
        <w:keepNext w:val="0"/>
        <w:keepLines w:val="0"/>
        <w:pageBreakBefore w:val="0"/>
        <w:widowControl w:val="0"/>
        <w:numPr>
          <w:ilvl w:val="0"/>
          <w:numId w:val="5"/>
        </w:numPr>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其他需要说明的情况</w:t>
      </w:r>
    </w:p>
    <w:p w14:paraId="778B7BD6">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无。</w:t>
      </w:r>
    </w:p>
    <w:p w14:paraId="28D7A7D5">
      <w:pPr>
        <w:rPr>
          <w:rFonts w:hint="eastAsia" w:ascii="Times New Roman Regular" w:hAnsi="Times New Roman Regular" w:eastAsia="仿宋_GB2312" w:cs="Times New Roman Regular"/>
          <w:color w:val="auto"/>
          <w:sz w:val="32"/>
          <w:szCs w:val="32"/>
          <w:highlight w:val="none"/>
          <w:lang w:val="en-US" w:eastAsia="zh-CN"/>
        </w:rPr>
      </w:pPr>
    </w:p>
    <w:p w14:paraId="6EE74551">
      <w:pPr>
        <w:pStyle w:val="2"/>
        <w:rPr>
          <w:rFonts w:hint="default"/>
          <w:highlight w:val="none"/>
          <w:lang w:val="en-US" w:eastAsia="zh-CN"/>
        </w:rPr>
      </w:pPr>
    </w:p>
    <w:p w14:paraId="29C3B9F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整体支出报告需要以下附件：</w:t>
      </w:r>
    </w:p>
    <w:p w14:paraId="3BFE3178">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1.部门整体支出绩效评价基础数据表</w:t>
      </w:r>
    </w:p>
    <w:p w14:paraId="380935CC">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2.部门整体支出绩效自评表</w:t>
      </w:r>
    </w:p>
    <w:p w14:paraId="5844AC7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3.项目支出绩效自评表</w:t>
      </w:r>
      <w:bookmarkStart w:id="0" w:name="_GoBack"/>
      <w:bookmarkEnd w:id="0"/>
    </w:p>
    <w:sectPr>
      <w:footerReference r:id="rId3" w:type="default"/>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embedRegular r:id="rId1" w:fontKey="{2F1B0708-DE5C-48A9-8BC5-86CC57863684}"/>
  </w:font>
  <w:font w:name="微软雅黑">
    <w:panose1 w:val="020B0503020204020204"/>
    <w:charset w:val="86"/>
    <w:family w:val="auto"/>
    <w:pitch w:val="default"/>
    <w:sig w:usb0="80000287" w:usb1="2ACF3C50" w:usb2="00000016" w:usb3="00000000" w:csb0="0004001F" w:csb1="00000000"/>
  </w:font>
  <w:font w:name="方正小标宋简体">
    <w:panose1 w:val="0201060001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86189437-6CD3-4C52-BAAD-833AEDBE3C15}"/>
  </w:font>
  <w:font w:name="仿宋">
    <w:panose1 w:val="02010609060101010101"/>
    <w:charset w:val="86"/>
    <w:family w:val="auto"/>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9" w:usb3="00000000" w:csb0="400001FF" w:csb1="FFFF0000"/>
    <w:embedRegular r:id="rId3" w:fontKey="{F4661D4E-D77D-49F8-A6CC-30EA10EA48C4}"/>
  </w:font>
  <w:font w:name="方正黑体_GBK">
    <w:altName w:val="微软雅黑"/>
    <w:panose1 w:val="02000000000000000000"/>
    <w:charset w:val="86"/>
    <w:family w:val="auto"/>
    <w:pitch w:val="default"/>
    <w:sig w:usb0="00000000" w:usb1="00000000" w:usb2="00000000" w:usb3="00000000" w:csb0="00040000" w:csb1="00000000"/>
    <w:embedRegular r:id="rId4" w:fontKey="{B33B4798-1F3D-40FB-8190-C27F4FCDC54F}"/>
  </w:font>
  <w:font w:name="方正仿宋_GB2312">
    <w:panose1 w:val="02000000000000000000"/>
    <w:charset w:val="86"/>
    <w:family w:val="auto"/>
    <w:pitch w:val="default"/>
    <w:sig w:usb0="A00002BF" w:usb1="184F6CFA" w:usb2="00000012" w:usb3="00000000" w:csb0="00040001" w:csb1="00000000"/>
    <w:embedRegular r:id="rId5" w:fontKey="{02399491-0E0E-412B-8691-4E0CE10AB42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C16E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364E4D">
                          <w:pPr>
                            <w:pStyle w:val="5"/>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E364E4D">
                    <w:pPr>
                      <w:pStyle w:val="5"/>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7187B9"/>
    <w:multiLevelType w:val="singleLevel"/>
    <w:tmpl w:val="C57187B9"/>
    <w:lvl w:ilvl="0" w:tentative="0">
      <w:start w:val="2"/>
      <w:numFmt w:val="decimal"/>
      <w:suff w:val="nothing"/>
      <w:lvlText w:val="%1、"/>
      <w:lvlJc w:val="left"/>
    </w:lvl>
  </w:abstractNum>
  <w:abstractNum w:abstractNumId="1">
    <w:nsid w:val="27DE4C80"/>
    <w:multiLevelType w:val="singleLevel"/>
    <w:tmpl w:val="27DE4C80"/>
    <w:lvl w:ilvl="0" w:tentative="0">
      <w:start w:val="1"/>
      <w:numFmt w:val="chineseCounting"/>
      <w:suff w:val="nothing"/>
      <w:lvlText w:val="（%1）"/>
      <w:lvlJc w:val="left"/>
      <w:rPr>
        <w:rFonts w:hint="eastAsia"/>
      </w:rPr>
    </w:lvl>
  </w:abstractNum>
  <w:abstractNum w:abstractNumId="2">
    <w:nsid w:val="5378B137"/>
    <w:multiLevelType w:val="singleLevel"/>
    <w:tmpl w:val="5378B137"/>
    <w:lvl w:ilvl="0" w:tentative="0">
      <w:start w:val="5"/>
      <w:numFmt w:val="chineseCounting"/>
      <w:suff w:val="nothing"/>
      <w:lvlText w:val="%1、"/>
      <w:lvlJc w:val="left"/>
      <w:rPr>
        <w:rFonts w:hint="eastAsia"/>
      </w:rPr>
    </w:lvl>
  </w:abstractNum>
  <w:abstractNum w:abstractNumId="3">
    <w:nsid w:val="66FE7917"/>
    <w:multiLevelType w:val="singleLevel"/>
    <w:tmpl w:val="66FE7917"/>
    <w:lvl w:ilvl="0" w:tentative="0">
      <w:start w:val="2"/>
      <w:numFmt w:val="chineseCounting"/>
      <w:suff w:val="nothing"/>
      <w:lvlText w:val="（%1）"/>
      <w:lvlJc w:val="left"/>
      <w:rPr>
        <w:rFonts w:hint="eastAsia"/>
      </w:rPr>
    </w:lvl>
  </w:abstractNum>
  <w:abstractNum w:abstractNumId="4">
    <w:nsid w:val="6C605247"/>
    <w:multiLevelType w:val="singleLevel"/>
    <w:tmpl w:val="6C605247"/>
    <w:lvl w:ilvl="0" w:tentative="0">
      <w:start w:val="12"/>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YmJkZTgyZjQzZTk3ZTUzMWNlNWIzZDJmYjY5OGMifQ=="/>
    <w:docVar w:name="KSO_WPS_MARK_KEY" w:val="9920a277-c0c3-43b4-93d3-1636fe398e0b"/>
  </w:docVars>
  <w:rsids>
    <w:rsidRoot w:val="753C4E9B"/>
    <w:rsid w:val="000A002F"/>
    <w:rsid w:val="000C3DA7"/>
    <w:rsid w:val="00327CB1"/>
    <w:rsid w:val="003D21B2"/>
    <w:rsid w:val="018A7679"/>
    <w:rsid w:val="018D0AE9"/>
    <w:rsid w:val="01A21D6C"/>
    <w:rsid w:val="02290C40"/>
    <w:rsid w:val="02467A44"/>
    <w:rsid w:val="02BD75DA"/>
    <w:rsid w:val="02CC3DCA"/>
    <w:rsid w:val="02CE1487"/>
    <w:rsid w:val="03077138"/>
    <w:rsid w:val="030C5432"/>
    <w:rsid w:val="030F3021"/>
    <w:rsid w:val="032B7CD9"/>
    <w:rsid w:val="033E696D"/>
    <w:rsid w:val="03741F6C"/>
    <w:rsid w:val="03863E70"/>
    <w:rsid w:val="03B604E9"/>
    <w:rsid w:val="048E715A"/>
    <w:rsid w:val="04D70E27"/>
    <w:rsid w:val="053C062A"/>
    <w:rsid w:val="05785C74"/>
    <w:rsid w:val="05E95AA6"/>
    <w:rsid w:val="062B705F"/>
    <w:rsid w:val="06530982"/>
    <w:rsid w:val="066A7D90"/>
    <w:rsid w:val="066F6E3E"/>
    <w:rsid w:val="06825158"/>
    <w:rsid w:val="06DD5B44"/>
    <w:rsid w:val="06E332B7"/>
    <w:rsid w:val="076624BA"/>
    <w:rsid w:val="078828AD"/>
    <w:rsid w:val="082279B0"/>
    <w:rsid w:val="093D1541"/>
    <w:rsid w:val="0A1E0205"/>
    <w:rsid w:val="0B27056C"/>
    <w:rsid w:val="0B4765DB"/>
    <w:rsid w:val="0C180A78"/>
    <w:rsid w:val="0C4168A8"/>
    <w:rsid w:val="0C590F18"/>
    <w:rsid w:val="0CAF0888"/>
    <w:rsid w:val="0D276746"/>
    <w:rsid w:val="0D464D9C"/>
    <w:rsid w:val="0D9045E5"/>
    <w:rsid w:val="0D915FD8"/>
    <w:rsid w:val="0DB0116C"/>
    <w:rsid w:val="0DD52794"/>
    <w:rsid w:val="0E01043C"/>
    <w:rsid w:val="0E372618"/>
    <w:rsid w:val="0E956870"/>
    <w:rsid w:val="0EA65DF4"/>
    <w:rsid w:val="0EBB38BF"/>
    <w:rsid w:val="0EE5282B"/>
    <w:rsid w:val="0F242EBB"/>
    <w:rsid w:val="0F625791"/>
    <w:rsid w:val="0FC02FEF"/>
    <w:rsid w:val="10384339"/>
    <w:rsid w:val="103C540E"/>
    <w:rsid w:val="10C666A5"/>
    <w:rsid w:val="11802A42"/>
    <w:rsid w:val="11FC3C7B"/>
    <w:rsid w:val="12071360"/>
    <w:rsid w:val="1213563A"/>
    <w:rsid w:val="12151ECE"/>
    <w:rsid w:val="1223366A"/>
    <w:rsid w:val="12645AF3"/>
    <w:rsid w:val="126D6927"/>
    <w:rsid w:val="12865C3B"/>
    <w:rsid w:val="12CB20B3"/>
    <w:rsid w:val="13596EAB"/>
    <w:rsid w:val="13702B73"/>
    <w:rsid w:val="138403CC"/>
    <w:rsid w:val="13B14444"/>
    <w:rsid w:val="143877FD"/>
    <w:rsid w:val="1472415E"/>
    <w:rsid w:val="14C75888"/>
    <w:rsid w:val="15637209"/>
    <w:rsid w:val="158B3BF8"/>
    <w:rsid w:val="16090E6F"/>
    <w:rsid w:val="16355420"/>
    <w:rsid w:val="165A7400"/>
    <w:rsid w:val="16822038"/>
    <w:rsid w:val="169C37CB"/>
    <w:rsid w:val="16BB05C9"/>
    <w:rsid w:val="16E13640"/>
    <w:rsid w:val="16FD6993"/>
    <w:rsid w:val="1700759E"/>
    <w:rsid w:val="176A6FE5"/>
    <w:rsid w:val="1791130A"/>
    <w:rsid w:val="17C66384"/>
    <w:rsid w:val="17FCFFF6"/>
    <w:rsid w:val="18194E5B"/>
    <w:rsid w:val="18ED431E"/>
    <w:rsid w:val="18F06FEA"/>
    <w:rsid w:val="193A4B2E"/>
    <w:rsid w:val="1965563C"/>
    <w:rsid w:val="197B5111"/>
    <w:rsid w:val="19837F1B"/>
    <w:rsid w:val="19E805B2"/>
    <w:rsid w:val="1A04275F"/>
    <w:rsid w:val="1AC714F1"/>
    <w:rsid w:val="1BB27AA1"/>
    <w:rsid w:val="1BE51C24"/>
    <w:rsid w:val="1BFD6F6E"/>
    <w:rsid w:val="1C6E7E6B"/>
    <w:rsid w:val="1C7F3E27"/>
    <w:rsid w:val="1C8566EE"/>
    <w:rsid w:val="1CAC629E"/>
    <w:rsid w:val="1CBF872E"/>
    <w:rsid w:val="1CD344D8"/>
    <w:rsid w:val="1CF0262F"/>
    <w:rsid w:val="1CF810CC"/>
    <w:rsid w:val="1E601A36"/>
    <w:rsid w:val="1ECC0E79"/>
    <w:rsid w:val="1F31278E"/>
    <w:rsid w:val="1F533A49"/>
    <w:rsid w:val="1F576995"/>
    <w:rsid w:val="1F62533A"/>
    <w:rsid w:val="1FF40A7E"/>
    <w:rsid w:val="20126D60"/>
    <w:rsid w:val="203F49D7"/>
    <w:rsid w:val="205D1159"/>
    <w:rsid w:val="20851E61"/>
    <w:rsid w:val="20B56069"/>
    <w:rsid w:val="21040C2B"/>
    <w:rsid w:val="220426D8"/>
    <w:rsid w:val="220B3A67"/>
    <w:rsid w:val="22235254"/>
    <w:rsid w:val="222C5B8B"/>
    <w:rsid w:val="22323BCB"/>
    <w:rsid w:val="224439AE"/>
    <w:rsid w:val="227E2874"/>
    <w:rsid w:val="22FE234B"/>
    <w:rsid w:val="23072219"/>
    <w:rsid w:val="23CD191B"/>
    <w:rsid w:val="24457704"/>
    <w:rsid w:val="2498613B"/>
    <w:rsid w:val="25517EDB"/>
    <w:rsid w:val="25897AC4"/>
    <w:rsid w:val="25CE1002"/>
    <w:rsid w:val="25F63A4B"/>
    <w:rsid w:val="26AB6098"/>
    <w:rsid w:val="277E6F02"/>
    <w:rsid w:val="27814EF7"/>
    <w:rsid w:val="27870033"/>
    <w:rsid w:val="27EB6814"/>
    <w:rsid w:val="28930410"/>
    <w:rsid w:val="28E219C5"/>
    <w:rsid w:val="28EB63A0"/>
    <w:rsid w:val="290B259E"/>
    <w:rsid w:val="295D729E"/>
    <w:rsid w:val="2976489F"/>
    <w:rsid w:val="2995635F"/>
    <w:rsid w:val="29990575"/>
    <w:rsid w:val="2A0B6CFA"/>
    <w:rsid w:val="2A626118"/>
    <w:rsid w:val="2AB1497C"/>
    <w:rsid w:val="2AF6742D"/>
    <w:rsid w:val="2B193CEA"/>
    <w:rsid w:val="2B3C17C4"/>
    <w:rsid w:val="2B82123D"/>
    <w:rsid w:val="2C500F73"/>
    <w:rsid w:val="2CDC2780"/>
    <w:rsid w:val="2CE61358"/>
    <w:rsid w:val="2CF9016D"/>
    <w:rsid w:val="2D157E8F"/>
    <w:rsid w:val="2D1A2751"/>
    <w:rsid w:val="2D3E0EB4"/>
    <w:rsid w:val="2D4C1B03"/>
    <w:rsid w:val="2DB63A2B"/>
    <w:rsid w:val="2E764C99"/>
    <w:rsid w:val="2F1458EF"/>
    <w:rsid w:val="2F1F0B51"/>
    <w:rsid w:val="2F90084E"/>
    <w:rsid w:val="2FA86931"/>
    <w:rsid w:val="2FEC58C6"/>
    <w:rsid w:val="309A7A3E"/>
    <w:rsid w:val="30BD4AC6"/>
    <w:rsid w:val="30D06101"/>
    <w:rsid w:val="312A2265"/>
    <w:rsid w:val="31745184"/>
    <w:rsid w:val="317A4765"/>
    <w:rsid w:val="31C14142"/>
    <w:rsid w:val="31DC0D66"/>
    <w:rsid w:val="32344FAC"/>
    <w:rsid w:val="329218AB"/>
    <w:rsid w:val="33020B14"/>
    <w:rsid w:val="3339603D"/>
    <w:rsid w:val="333F3E43"/>
    <w:rsid w:val="336D2B84"/>
    <w:rsid w:val="337C0FFF"/>
    <w:rsid w:val="33AD634D"/>
    <w:rsid w:val="34565FCE"/>
    <w:rsid w:val="34C75A4A"/>
    <w:rsid w:val="34D914C4"/>
    <w:rsid w:val="353B58E2"/>
    <w:rsid w:val="35870510"/>
    <w:rsid w:val="35CF5088"/>
    <w:rsid w:val="360168C5"/>
    <w:rsid w:val="3619279E"/>
    <w:rsid w:val="361A4C88"/>
    <w:rsid w:val="36213401"/>
    <w:rsid w:val="36C7044C"/>
    <w:rsid w:val="36C85C26"/>
    <w:rsid w:val="36E42DAC"/>
    <w:rsid w:val="36FC0F5D"/>
    <w:rsid w:val="37182A56"/>
    <w:rsid w:val="375773F8"/>
    <w:rsid w:val="37B00EE0"/>
    <w:rsid w:val="37C156A9"/>
    <w:rsid w:val="37E312B6"/>
    <w:rsid w:val="37E74B44"/>
    <w:rsid w:val="38213B8C"/>
    <w:rsid w:val="38284F1B"/>
    <w:rsid w:val="382E27FC"/>
    <w:rsid w:val="382F7AF7"/>
    <w:rsid w:val="38BF587F"/>
    <w:rsid w:val="38ED43BF"/>
    <w:rsid w:val="38F042A5"/>
    <w:rsid w:val="39047736"/>
    <w:rsid w:val="393E32BB"/>
    <w:rsid w:val="3A97102A"/>
    <w:rsid w:val="3AB4576D"/>
    <w:rsid w:val="3AF25F2C"/>
    <w:rsid w:val="3B1B0D67"/>
    <w:rsid w:val="3B6B3A9C"/>
    <w:rsid w:val="3BB96E2F"/>
    <w:rsid w:val="3C413397"/>
    <w:rsid w:val="3C723D61"/>
    <w:rsid w:val="3D3879AE"/>
    <w:rsid w:val="3D78424E"/>
    <w:rsid w:val="3DB715CA"/>
    <w:rsid w:val="3E221208"/>
    <w:rsid w:val="3EC13D69"/>
    <w:rsid w:val="3EE33949"/>
    <w:rsid w:val="3EFDDE87"/>
    <w:rsid w:val="3F0833B0"/>
    <w:rsid w:val="3FB157F6"/>
    <w:rsid w:val="3FE27130"/>
    <w:rsid w:val="40095632"/>
    <w:rsid w:val="400A523F"/>
    <w:rsid w:val="407F76A2"/>
    <w:rsid w:val="40DA7E76"/>
    <w:rsid w:val="41197AF6"/>
    <w:rsid w:val="41575537"/>
    <w:rsid w:val="41960039"/>
    <w:rsid w:val="419B2857"/>
    <w:rsid w:val="41BB6E00"/>
    <w:rsid w:val="41D71DA8"/>
    <w:rsid w:val="42664FBD"/>
    <w:rsid w:val="426B5D0D"/>
    <w:rsid w:val="42C43A92"/>
    <w:rsid w:val="430E16AD"/>
    <w:rsid w:val="43120CA1"/>
    <w:rsid w:val="43553FA0"/>
    <w:rsid w:val="438C6476"/>
    <w:rsid w:val="439E6E16"/>
    <w:rsid w:val="43CF26F8"/>
    <w:rsid w:val="441445A5"/>
    <w:rsid w:val="44C85ABB"/>
    <w:rsid w:val="45012D7B"/>
    <w:rsid w:val="456A42E1"/>
    <w:rsid w:val="457C0EFB"/>
    <w:rsid w:val="46591D79"/>
    <w:rsid w:val="466727DF"/>
    <w:rsid w:val="46A61E2C"/>
    <w:rsid w:val="46D71FE6"/>
    <w:rsid w:val="46ED7553"/>
    <w:rsid w:val="470D6C14"/>
    <w:rsid w:val="47701FEB"/>
    <w:rsid w:val="477C436F"/>
    <w:rsid w:val="47863C40"/>
    <w:rsid w:val="47C87C98"/>
    <w:rsid w:val="47FE53CC"/>
    <w:rsid w:val="48594C7C"/>
    <w:rsid w:val="48BB7D26"/>
    <w:rsid w:val="49670529"/>
    <w:rsid w:val="4999150E"/>
    <w:rsid w:val="4A78588E"/>
    <w:rsid w:val="4A7B230B"/>
    <w:rsid w:val="4A8E3303"/>
    <w:rsid w:val="4AB362CC"/>
    <w:rsid w:val="4B235061"/>
    <w:rsid w:val="4B7A5635"/>
    <w:rsid w:val="4C0010D8"/>
    <w:rsid w:val="4C343F17"/>
    <w:rsid w:val="4C6611ED"/>
    <w:rsid w:val="4C9F2E67"/>
    <w:rsid w:val="4CB64A77"/>
    <w:rsid w:val="4D010871"/>
    <w:rsid w:val="4D275349"/>
    <w:rsid w:val="4D5D3BD3"/>
    <w:rsid w:val="4DA42E3E"/>
    <w:rsid w:val="4E006DA4"/>
    <w:rsid w:val="4E1C0C26"/>
    <w:rsid w:val="4E807407"/>
    <w:rsid w:val="4EB7F892"/>
    <w:rsid w:val="4EF84368"/>
    <w:rsid w:val="4F1A755C"/>
    <w:rsid w:val="4F1F277C"/>
    <w:rsid w:val="4FE24FA4"/>
    <w:rsid w:val="50264753"/>
    <w:rsid w:val="50324731"/>
    <w:rsid w:val="50770396"/>
    <w:rsid w:val="51220301"/>
    <w:rsid w:val="513D1190"/>
    <w:rsid w:val="51B51175"/>
    <w:rsid w:val="51D102B2"/>
    <w:rsid w:val="51F3430E"/>
    <w:rsid w:val="52A46993"/>
    <w:rsid w:val="52BC4786"/>
    <w:rsid w:val="52C13A04"/>
    <w:rsid w:val="52E934AC"/>
    <w:rsid w:val="538C4C81"/>
    <w:rsid w:val="53BD2563"/>
    <w:rsid w:val="53EF7801"/>
    <w:rsid w:val="53F31090"/>
    <w:rsid w:val="5486329D"/>
    <w:rsid w:val="54A01FF8"/>
    <w:rsid w:val="552503C0"/>
    <w:rsid w:val="552A0475"/>
    <w:rsid w:val="552F7491"/>
    <w:rsid w:val="557D4A95"/>
    <w:rsid w:val="559E39E2"/>
    <w:rsid w:val="55CC16A6"/>
    <w:rsid w:val="560B5B9C"/>
    <w:rsid w:val="562B7C58"/>
    <w:rsid w:val="564638E1"/>
    <w:rsid w:val="56737851"/>
    <w:rsid w:val="56D843E7"/>
    <w:rsid w:val="572172AD"/>
    <w:rsid w:val="57364B06"/>
    <w:rsid w:val="578D10CB"/>
    <w:rsid w:val="58187B81"/>
    <w:rsid w:val="588D4BFA"/>
    <w:rsid w:val="58DD25BE"/>
    <w:rsid w:val="59240D93"/>
    <w:rsid w:val="594A2AEB"/>
    <w:rsid w:val="5958305D"/>
    <w:rsid w:val="59CB0B12"/>
    <w:rsid w:val="5A1460F3"/>
    <w:rsid w:val="5A315E5B"/>
    <w:rsid w:val="5A3A490E"/>
    <w:rsid w:val="5A5915AC"/>
    <w:rsid w:val="5A806BFB"/>
    <w:rsid w:val="5A8831DA"/>
    <w:rsid w:val="5ABBC979"/>
    <w:rsid w:val="5ACD10FB"/>
    <w:rsid w:val="5ACD4674"/>
    <w:rsid w:val="5B2630E4"/>
    <w:rsid w:val="5B3666C6"/>
    <w:rsid w:val="5BDE0628"/>
    <w:rsid w:val="5BFC7B3B"/>
    <w:rsid w:val="5C0F2DC3"/>
    <w:rsid w:val="5C167710"/>
    <w:rsid w:val="5C2F421A"/>
    <w:rsid w:val="5C6217A0"/>
    <w:rsid w:val="5C982D46"/>
    <w:rsid w:val="5CCE050A"/>
    <w:rsid w:val="5DC34C1A"/>
    <w:rsid w:val="5DFA3908"/>
    <w:rsid w:val="5E323B4E"/>
    <w:rsid w:val="5E77C7C6"/>
    <w:rsid w:val="5E7A5C08"/>
    <w:rsid w:val="5EA066A1"/>
    <w:rsid w:val="5EAC56AE"/>
    <w:rsid w:val="5EDA66BF"/>
    <w:rsid w:val="5F0F12C4"/>
    <w:rsid w:val="5F127074"/>
    <w:rsid w:val="5F5A0C98"/>
    <w:rsid w:val="5FF67529"/>
    <w:rsid w:val="5FFFAAE0"/>
    <w:rsid w:val="604858AA"/>
    <w:rsid w:val="60A103D3"/>
    <w:rsid w:val="62466743"/>
    <w:rsid w:val="625933C2"/>
    <w:rsid w:val="629C7113"/>
    <w:rsid w:val="638B61DA"/>
    <w:rsid w:val="639A641D"/>
    <w:rsid w:val="64550ED7"/>
    <w:rsid w:val="64CF567C"/>
    <w:rsid w:val="6580738E"/>
    <w:rsid w:val="65870C23"/>
    <w:rsid w:val="65AF1C1C"/>
    <w:rsid w:val="65D31F2E"/>
    <w:rsid w:val="661E3335"/>
    <w:rsid w:val="662D7608"/>
    <w:rsid w:val="66347B2F"/>
    <w:rsid w:val="66427B3E"/>
    <w:rsid w:val="664663E8"/>
    <w:rsid w:val="667A315A"/>
    <w:rsid w:val="667FD72C"/>
    <w:rsid w:val="66FA5C7E"/>
    <w:rsid w:val="67BD26DA"/>
    <w:rsid w:val="68231236"/>
    <w:rsid w:val="689245C1"/>
    <w:rsid w:val="68AD274F"/>
    <w:rsid w:val="68EF4822"/>
    <w:rsid w:val="690C1B6B"/>
    <w:rsid w:val="694F1A58"/>
    <w:rsid w:val="699C1543"/>
    <w:rsid w:val="69D23162"/>
    <w:rsid w:val="69F858DF"/>
    <w:rsid w:val="6A050368"/>
    <w:rsid w:val="6A12486A"/>
    <w:rsid w:val="6A12716B"/>
    <w:rsid w:val="6A4E3ABD"/>
    <w:rsid w:val="6A892D47"/>
    <w:rsid w:val="6ABE64BE"/>
    <w:rsid w:val="6B5F16C5"/>
    <w:rsid w:val="6B87197D"/>
    <w:rsid w:val="6C2B409A"/>
    <w:rsid w:val="6C4C1071"/>
    <w:rsid w:val="6C6546D2"/>
    <w:rsid w:val="6CC14A1B"/>
    <w:rsid w:val="6CED5810"/>
    <w:rsid w:val="6CF3EA5A"/>
    <w:rsid w:val="6D2D20B0"/>
    <w:rsid w:val="6D605FE2"/>
    <w:rsid w:val="6D9D7236"/>
    <w:rsid w:val="6E0472B5"/>
    <w:rsid w:val="6ED02ACD"/>
    <w:rsid w:val="6ED547AD"/>
    <w:rsid w:val="70A7182D"/>
    <w:rsid w:val="70B052EC"/>
    <w:rsid w:val="70BC0C6D"/>
    <w:rsid w:val="710A39B3"/>
    <w:rsid w:val="71687B5B"/>
    <w:rsid w:val="716F59BA"/>
    <w:rsid w:val="71871854"/>
    <w:rsid w:val="72AC0479"/>
    <w:rsid w:val="72DD5943"/>
    <w:rsid w:val="72E53903"/>
    <w:rsid w:val="734168B5"/>
    <w:rsid w:val="73BC327A"/>
    <w:rsid w:val="74157242"/>
    <w:rsid w:val="74A4374A"/>
    <w:rsid w:val="74A8783F"/>
    <w:rsid w:val="74E40210"/>
    <w:rsid w:val="74FD4A5E"/>
    <w:rsid w:val="750875AC"/>
    <w:rsid w:val="753C4E9B"/>
    <w:rsid w:val="754E12AC"/>
    <w:rsid w:val="7570799D"/>
    <w:rsid w:val="75973F1C"/>
    <w:rsid w:val="759C3D2B"/>
    <w:rsid w:val="75E561D8"/>
    <w:rsid w:val="764F12E9"/>
    <w:rsid w:val="768F5B89"/>
    <w:rsid w:val="769B7804"/>
    <w:rsid w:val="76B15B00"/>
    <w:rsid w:val="76F263F7"/>
    <w:rsid w:val="77436940"/>
    <w:rsid w:val="77613082"/>
    <w:rsid w:val="779FCBF0"/>
    <w:rsid w:val="77F7E21B"/>
    <w:rsid w:val="781113A7"/>
    <w:rsid w:val="782303E7"/>
    <w:rsid w:val="784E0831"/>
    <w:rsid w:val="78D16192"/>
    <w:rsid w:val="791E6510"/>
    <w:rsid w:val="799314ED"/>
    <w:rsid w:val="79D51B05"/>
    <w:rsid w:val="79E2F975"/>
    <w:rsid w:val="79F532FD"/>
    <w:rsid w:val="79FF3026"/>
    <w:rsid w:val="7A146AD1"/>
    <w:rsid w:val="7A28257D"/>
    <w:rsid w:val="7A8F6158"/>
    <w:rsid w:val="7AF2228E"/>
    <w:rsid w:val="7B3BDBF2"/>
    <w:rsid w:val="7BD858DD"/>
    <w:rsid w:val="7C030BAC"/>
    <w:rsid w:val="7C2177D7"/>
    <w:rsid w:val="7C393B59"/>
    <w:rsid w:val="7C8D4A41"/>
    <w:rsid w:val="7D5E1424"/>
    <w:rsid w:val="7DA10339"/>
    <w:rsid w:val="7DD24CD9"/>
    <w:rsid w:val="7DEE7639"/>
    <w:rsid w:val="7E0E55E6"/>
    <w:rsid w:val="7E6A2B1A"/>
    <w:rsid w:val="7E6B28C4"/>
    <w:rsid w:val="7EBD7AF1"/>
    <w:rsid w:val="7EBDCBBF"/>
    <w:rsid w:val="7EC02D84"/>
    <w:rsid w:val="7EC74CC1"/>
    <w:rsid w:val="7ECA59B1"/>
    <w:rsid w:val="7EE6408F"/>
    <w:rsid w:val="7F2215D5"/>
    <w:rsid w:val="7F27031D"/>
    <w:rsid w:val="7F3EB32E"/>
    <w:rsid w:val="7F5F3F3B"/>
    <w:rsid w:val="7F5FE5E8"/>
    <w:rsid w:val="7F674E25"/>
    <w:rsid w:val="7F69341C"/>
    <w:rsid w:val="7F7C5BBA"/>
    <w:rsid w:val="7F7FC8C5"/>
    <w:rsid w:val="7F8918B0"/>
    <w:rsid w:val="7FFDE9AB"/>
    <w:rsid w:val="7FFEB77D"/>
    <w:rsid w:val="7FFFADA2"/>
    <w:rsid w:val="9ED5792A"/>
    <w:rsid w:val="AEFFB886"/>
    <w:rsid w:val="BEFF7926"/>
    <w:rsid w:val="CF12F568"/>
    <w:rsid w:val="DEBF7731"/>
    <w:rsid w:val="E39F96A6"/>
    <w:rsid w:val="E6DFCF67"/>
    <w:rsid w:val="EBB76B61"/>
    <w:rsid w:val="F6D78CAF"/>
    <w:rsid w:val="F7DA3342"/>
    <w:rsid w:val="FBD266D3"/>
    <w:rsid w:val="FBFF7914"/>
    <w:rsid w:val="FDBFA637"/>
    <w:rsid w:val="FE6B70D4"/>
    <w:rsid w:val="FF2C1D8F"/>
    <w:rsid w:val="FF7BB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4">
    <w:name w:val="Body Text Indent"/>
    <w:basedOn w:val="1"/>
    <w:unhideWhenUsed/>
    <w:qFormat/>
    <w:uiPriority w:val="0"/>
    <w:pPr>
      <w:spacing w:beforeLines="0" w:afterLines="0"/>
      <w:ind w:firstLine="640" w:firstLineChars="200"/>
    </w:pPr>
    <w:rPr>
      <w:rFonts w:hint="default"/>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unhideWhenUsed/>
    <w:qFormat/>
    <w:uiPriority w:val="99"/>
    <w:pPr>
      <w:spacing w:beforeLines="0" w:afterLines="0"/>
      <w:ind w:firstLine="420"/>
    </w:pPr>
    <w:rPr>
      <w:rFonts w:hint="default"/>
      <w:sz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标题1"/>
    <w:basedOn w:val="3"/>
    <w:qFormat/>
    <w:uiPriority w:val="0"/>
    <w:rPr>
      <w:rFonts w:eastAsia="黑体"/>
    </w:rPr>
  </w:style>
  <w:style w:type="paragraph" w:customStyle="1" w:styleId="13">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2636</Words>
  <Characters>2980</Characters>
  <Lines>0</Lines>
  <Paragraphs>0</Paragraphs>
  <TotalTime>1</TotalTime>
  <ScaleCrop>false</ScaleCrop>
  <LinksUpToDate>false</LinksUpToDate>
  <CharactersWithSpaces>3189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2024-02-23T10:03:00Z</dcterms:created>
  <dc:creator>1402836399</dc:creator>
  <cp:lastModifiedBy>左耳想闭关</cp:lastModifiedBy>
  <cp:lastPrinted>2025-07-07T08:32:00Z</cp:lastPrinted>
  <dcterms:modified xsi:type="dcterms:W3CDTF">2025-07-14T02:04:09Z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78003E7BFB3E4C8791EF0E7ACFA0A48D_13</vt:lpwstr>
  </property>
  <property fmtid="{D5CDD505-2E9C-101B-9397-08002B2CF9AE}" pid="4" name="KSOTemplateDocerSaveRecord">
    <vt:lpwstr>eyJoZGlkIjoiOTcyMzc3Y2M0MzI3OWU2Mzk1MzhmMDAxMmVkNmIzZTAiLCJ1c2VySWQiOiIxMTgxODcyMTY4In0=</vt:lpwstr>
  </property>
</Properties>
</file>