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E6F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附件1</w:t>
      </w:r>
    </w:p>
    <w:p w14:paraId="3FB4988D"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val="en-US" w:eastAsia="zh-CN"/>
        </w:rPr>
        <w:t>部门整体支出绩效评价基础数据表</w:t>
      </w:r>
      <w:bookmarkEnd w:id="0"/>
    </w:p>
    <w:p w14:paraId="74E52E42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hint="default" w:eastAsia="仿宋_GB2312"/>
          <w:kern w:val="0"/>
          <w:sz w:val="24"/>
          <w:highlight w:val="none"/>
          <w:lang w:val="en-US" w:eastAsia="zh-CN"/>
        </w:rPr>
      </w:pPr>
      <w:r>
        <w:rPr>
          <w:rFonts w:hint="eastAsia" w:eastAsia="仿宋_GB2312"/>
          <w:kern w:val="0"/>
          <w:sz w:val="24"/>
          <w:highlight w:val="none"/>
          <w:lang w:val="en-US" w:eastAsia="zh-CN"/>
        </w:rPr>
        <w:t xml:space="preserve">                                       </w:t>
      </w:r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 w14:paraId="4E90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 w14:paraId="518BB4A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财政供养人员情况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40C64D0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6235766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59DFB99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控制率</w:t>
            </w:r>
          </w:p>
        </w:tc>
      </w:tr>
      <w:tr w14:paraId="4DF5A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 w14:paraId="33FF050D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411A2B4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54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6DEE534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63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64613BC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116.67%</w:t>
            </w:r>
          </w:p>
        </w:tc>
      </w:tr>
      <w:tr w14:paraId="31137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667E1DD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经费控制情况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675F27A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04D8F90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1F25DCA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年决算数</w:t>
            </w:r>
          </w:p>
        </w:tc>
      </w:tr>
      <w:tr w14:paraId="025A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388FC93C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0475A8E6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4.01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30797A22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6.80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1A1CC40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2.51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0BB2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629DEAC6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03B6C8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3.30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4FA73B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4.80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68256904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2.21</w:t>
            </w:r>
          </w:p>
        </w:tc>
      </w:tr>
      <w:tr w14:paraId="027B3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20BB74BC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0ED3BF1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297E336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3C3670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5B13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557AD1DD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12263533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3.30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33648988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4.80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689E3D8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2.21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0BAE9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3F22C9AA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 xml:space="preserve">   2、出国经费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632140D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7872648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6DF71AF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550C7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1B3277BC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 xml:space="preserve">   3、公务接待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4C1A3B49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0.71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395B253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2.00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13A6CB9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0.30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9A6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354" w:type="dxa"/>
            <w:noWrap w:val="0"/>
            <w:vAlign w:val="center"/>
          </w:tcPr>
          <w:p w14:paraId="1EDD3FA6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项目支出：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D50203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619.52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6504C2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973.80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2DF5A40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951.9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　</w:t>
            </w:r>
          </w:p>
        </w:tc>
      </w:tr>
      <w:tr w14:paraId="5504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06C80443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06D6624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619.52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6025A69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973.80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785CF2A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951.9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5DCA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6315F91F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0B6B52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6FD3F1B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4504F6A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98C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noWrap w:val="0"/>
            <w:vAlign w:val="center"/>
          </w:tcPr>
          <w:p w14:paraId="608A14F4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本级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专项资金</w:t>
            </w:r>
          </w:p>
          <w:p w14:paraId="000D4029">
            <w:pPr>
              <w:widowControl/>
              <w:ind w:firstLine="60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（一个专项一行）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4110A87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3A57D57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1984100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</w:p>
        </w:tc>
      </w:tr>
      <w:tr w14:paraId="5F455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6F13B8C5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4、其他事业类发展资金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095A51D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315CA6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66D931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1E43D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7465C03D">
            <w:pPr>
              <w:widowControl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公用经费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447EAB8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183.00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83B88AC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189.00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864D2C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158.2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F67F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2EA91854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 xml:space="preserve">    其中：办公费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46126FA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10.97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4BB9896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1B8C4B5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0.00　</w:t>
            </w:r>
          </w:p>
        </w:tc>
      </w:tr>
      <w:tr w14:paraId="04F9B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02016BC4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014685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16.25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668053F7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10.00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A2EA79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9.92　</w:t>
            </w:r>
          </w:p>
        </w:tc>
      </w:tr>
      <w:tr w14:paraId="4D0C8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354" w:type="dxa"/>
            <w:noWrap w:val="0"/>
            <w:vAlign w:val="center"/>
          </w:tcPr>
          <w:p w14:paraId="221B9F8C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979FC8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5.16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36952D4A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2.00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3070C44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0.00</w:t>
            </w:r>
          </w:p>
        </w:tc>
      </w:tr>
      <w:tr w14:paraId="79F37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6843F701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8EDA2A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76B4E8B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456.00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558B04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414.56　</w:t>
            </w:r>
          </w:p>
        </w:tc>
      </w:tr>
      <w:tr w14:paraId="3A7F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7439F53B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508D13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9F0FC9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3E68CD4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4AB90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 w14:paraId="3BFA925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2024年完工情况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189" w:type="dxa"/>
            <w:noWrap w:val="0"/>
            <w:vAlign w:val="center"/>
          </w:tcPr>
          <w:p w14:paraId="22D92AB9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批复规模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（㎡）</w:t>
            </w:r>
          </w:p>
        </w:tc>
        <w:tc>
          <w:tcPr>
            <w:tcW w:w="849" w:type="dxa"/>
            <w:noWrap w:val="0"/>
            <w:vAlign w:val="center"/>
          </w:tcPr>
          <w:p w14:paraId="5D94FD54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实际规模（㎡）</w:t>
            </w:r>
          </w:p>
        </w:tc>
        <w:tc>
          <w:tcPr>
            <w:tcW w:w="1129" w:type="dxa"/>
            <w:noWrap w:val="0"/>
            <w:vAlign w:val="center"/>
          </w:tcPr>
          <w:p w14:paraId="4CA92A8D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111" w:type="dxa"/>
            <w:noWrap w:val="0"/>
            <w:vAlign w:val="center"/>
          </w:tcPr>
          <w:p w14:paraId="59866805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969" w:type="dxa"/>
            <w:noWrap w:val="0"/>
            <w:vAlign w:val="center"/>
          </w:tcPr>
          <w:p w14:paraId="37911612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863" w:type="dxa"/>
            <w:noWrap w:val="0"/>
            <w:vAlign w:val="center"/>
          </w:tcPr>
          <w:p w14:paraId="019EB819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投资概算控制率</w:t>
            </w:r>
          </w:p>
        </w:tc>
      </w:tr>
      <w:tr w14:paraId="29A7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 w14:paraId="09C06A1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09B984B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49" w:type="dxa"/>
            <w:noWrap w:val="0"/>
            <w:vAlign w:val="center"/>
          </w:tcPr>
          <w:p w14:paraId="62D619E6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29" w:type="dxa"/>
            <w:noWrap w:val="0"/>
            <w:vAlign w:val="center"/>
          </w:tcPr>
          <w:p w14:paraId="031B8535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11" w:type="dxa"/>
            <w:noWrap w:val="0"/>
            <w:vAlign w:val="center"/>
          </w:tcPr>
          <w:p w14:paraId="7C78CD3B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 w14:paraId="0FC7697C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63" w:type="dxa"/>
            <w:noWrap w:val="0"/>
            <w:vAlign w:val="center"/>
          </w:tcPr>
          <w:p w14:paraId="6D2A06ED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05486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354" w:type="dxa"/>
            <w:noWrap w:val="0"/>
            <w:vAlign w:val="center"/>
          </w:tcPr>
          <w:p w14:paraId="79E9FE0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110" w:type="dxa"/>
            <w:gridSpan w:val="6"/>
            <w:noWrap w:val="0"/>
            <w:vAlign w:val="center"/>
          </w:tcPr>
          <w:p w14:paraId="5D4CFE4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highlight w:val="none"/>
              </w:rPr>
              <w:t>　</w:t>
            </w:r>
          </w:p>
        </w:tc>
      </w:tr>
    </w:tbl>
    <w:p w14:paraId="7302E497"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highlight w:val="none"/>
          <w:lang w:val="en-US" w:eastAsia="zh-CN"/>
        </w:rPr>
      </w:pPr>
      <w:r>
        <w:rPr>
          <w:rFonts w:eastAsia="仿宋_GB2312"/>
          <w:kern w:val="0"/>
          <w:sz w:val="22"/>
          <w:highlight w:val="none"/>
        </w:rPr>
        <w:t>说明：“项目支出”需要填报基本支出以外的所有项目支出情况，“公用经费”填报基本支出中的一般商品和服务支出。</w:t>
      </w:r>
    </w:p>
    <w:p w14:paraId="4A00F0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6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2025-07-14T02:00:44Z</dcterms:created>
  <dc:creator>Admin</dc:creator>
  <cp:lastModifiedBy>左耳想闭关</cp:lastModifiedBy>
  <dcterms:modified xsi:type="dcterms:W3CDTF">2025-07-14T02:00:51Z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eyJoZGlkIjoiOTcyMzc3Y2M0MzI3OWU2Mzk1MzhmMDAxMmVkNmIzZTAiLCJ1c2VySWQiOiIxMTgxODcyMTY4In0=</vt:lpwstr>
  </property>
  <property fmtid="{D5CDD505-2E9C-101B-9397-08002B2CF9AE}" pid="4" name="ICV">
    <vt:lpwstr>3AECC5BACC4C4A8D9A109480C5773ACE_12</vt:lpwstr>
  </property>
</Properties>
</file>