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方正小标宋简体"/>
          <w:b/>
          <w:bCs/>
          <w:sz w:val="48"/>
          <w:szCs w:val="48"/>
        </w:rPr>
      </w:pPr>
    </w:p>
    <w:p>
      <w:pPr>
        <w:pStyle w:val="2"/>
        <w:rPr>
          <w:rFonts w:ascii="Times New Roman" w:hAnsi="Times New Roman" w:eastAsia="方正小标宋简体" w:cs="方正小标宋简体"/>
          <w:b/>
          <w:bCs/>
          <w:sz w:val="48"/>
          <w:szCs w:val="48"/>
        </w:rPr>
      </w:pPr>
    </w:p>
    <w:p>
      <w:pPr>
        <w:pStyle w:val="3"/>
        <w:rPr>
          <w:rFonts w:ascii="Times New Roman" w:hAnsi="Times New Roman" w:eastAsia="方正小标宋简体" w:cs="方正小标宋简体"/>
          <w:b/>
          <w:bCs/>
          <w:sz w:val="48"/>
          <w:szCs w:val="48"/>
        </w:rPr>
      </w:pPr>
    </w:p>
    <w:p/>
    <w:p>
      <w:pPr>
        <w:jc w:val="center"/>
        <w:rPr>
          <w:rFonts w:ascii="Times New Roman" w:hAnsi="Times New Roman" w:eastAsia="方正小标宋简体" w:cs="方正小标宋简体"/>
          <w:b/>
          <w:bCs/>
          <w:sz w:val="48"/>
          <w:szCs w:val="48"/>
        </w:rPr>
      </w:pPr>
    </w:p>
    <w:p>
      <w:pPr>
        <w:jc w:val="center"/>
        <w:rPr>
          <w:rFonts w:ascii="Times New Roman" w:hAnsi="Times New Roman" w:eastAsia="方正小标宋简体" w:cs="方正小标宋简体"/>
          <w:b/>
          <w:bCs/>
          <w:sz w:val="48"/>
          <w:szCs w:val="48"/>
        </w:rPr>
      </w:pPr>
      <w:r>
        <w:rPr>
          <w:rFonts w:hint="eastAsia" w:ascii="Times New Roman" w:hAnsi="Times New Roman" w:eastAsia="方正小标宋简体" w:cs="方正小标宋简体"/>
          <w:b/>
          <w:bCs/>
          <w:sz w:val="48"/>
          <w:szCs w:val="48"/>
        </w:rPr>
        <w:t>怀化市公共资源交易中心</w:t>
      </w:r>
    </w:p>
    <w:p>
      <w:pPr>
        <w:jc w:val="center"/>
        <w:rPr>
          <w:rFonts w:ascii="方正小标宋简体" w:hAnsi="方正小标宋简体" w:eastAsia="方正小标宋简体" w:cs="方正小标宋简体"/>
          <w:b/>
          <w:bCs/>
          <w:sz w:val="48"/>
          <w:szCs w:val="48"/>
        </w:rPr>
      </w:pPr>
      <w:r>
        <w:rPr>
          <w:rFonts w:hint="eastAsia" w:ascii="Times New Roman" w:hAnsi="Times New Roman" w:eastAsia="方正小标宋简体" w:cs="方正小标宋简体"/>
          <w:b/>
          <w:bCs/>
          <w:sz w:val="48"/>
          <w:szCs w:val="48"/>
        </w:rPr>
        <w:t>2021年度部门整体支出绩效自评报</w:t>
      </w:r>
      <w:r>
        <w:rPr>
          <w:rFonts w:hint="eastAsia" w:ascii="方正小标宋简体" w:hAnsi="方正小标宋简体" w:eastAsia="方正小标宋简体" w:cs="方正小标宋简体"/>
          <w:b/>
          <w:bCs/>
          <w:sz w:val="48"/>
          <w:szCs w:val="48"/>
        </w:rPr>
        <w:t>告</w:t>
      </w:r>
    </w:p>
    <w:p>
      <w:pPr>
        <w:jc w:val="center"/>
        <w:rPr>
          <w:rFonts w:eastAsia="黑体"/>
          <w:sz w:val="32"/>
          <w:szCs w:val="32"/>
        </w:rPr>
      </w:pPr>
    </w:p>
    <w:p>
      <w:pPr>
        <w:jc w:val="center"/>
        <w:rPr>
          <w:rFonts w:eastAsia="黑体"/>
          <w:sz w:val="32"/>
          <w:szCs w:val="32"/>
        </w:rPr>
      </w:pPr>
    </w:p>
    <w:p>
      <w:pPr>
        <w:jc w:val="both"/>
        <w:rPr>
          <w:rFonts w:eastAsia="黑体"/>
          <w:sz w:val="32"/>
          <w:szCs w:val="32"/>
        </w:rPr>
      </w:pPr>
    </w:p>
    <w:p>
      <w:pPr>
        <w:jc w:val="center"/>
        <w:rPr>
          <w:rFonts w:eastAsia="黑体"/>
          <w:sz w:val="32"/>
          <w:szCs w:val="32"/>
        </w:rPr>
      </w:pPr>
    </w:p>
    <w:p>
      <w:pPr>
        <w:jc w:val="center"/>
        <w:rPr>
          <w:rFonts w:eastAsia="黑体"/>
          <w:sz w:val="44"/>
          <w:szCs w:val="44"/>
        </w:rPr>
      </w:pPr>
    </w:p>
    <w:p>
      <w:pPr>
        <w:jc w:val="center"/>
        <w:rPr>
          <w:rFonts w:eastAsia="黑体"/>
          <w:sz w:val="44"/>
          <w:szCs w:val="44"/>
        </w:rPr>
      </w:pPr>
    </w:p>
    <w:p>
      <w:pPr>
        <w:spacing w:line="600" w:lineRule="exact"/>
        <w:ind w:firstLine="880" w:firstLineChars="200"/>
        <w:jc w:val="center"/>
        <w:rPr>
          <w:rFonts w:eastAsia="黑体"/>
          <w:sz w:val="44"/>
          <w:szCs w:val="44"/>
        </w:rPr>
      </w:pPr>
    </w:p>
    <w:p>
      <w:pPr>
        <w:pStyle w:val="2"/>
        <w:rPr>
          <w:rFonts w:eastAsia="黑体"/>
          <w:sz w:val="44"/>
          <w:szCs w:val="44"/>
        </w:rPr>
      </w:pPr>
    </w:p>
    <w:p>
      <w:pPr>
        <w:pStyle w:val="3"/>
        <w:rPr>
          <w:rFonts w:eastAsia="黑体"/>
          <w:sz w:val="44"/>
          <w:szCs w:val="44"/>
        </w:rPr>
      </w:pPr>
    </w:p>
    <w:p>
      <w:pPr>
        <w:rPr>
          <w:rFonts w:eastAsia="黑体"/>
          <w:sz w:val="44"/>
          <w:szCs w:val="44"/>
        </w:rPr>
      </w:pPr>
    </w:p>
    <w:p>
      <w:pPr>
        <w:pStyle w:val="2"/>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spacing w:line="600" w:lineRule="exact"/>
        <w:ind w:firstLine="1920" w:firstLineChars="6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单位名称：</w:t>
      </w:r>
      <w:r>
        <w:rPr>
          <w:rFonts w:ascii="Times New Roman" w:hAnsi="Times New Roman" w:eastAsia="仿宋_GB2312" w:cs="Times New Roman"/>
          <w:sz w:val="32"/>
          <w:szCs w:val="32"/>
          <w:u w:val="single"/>
        </w:rPr>
        <w:t>（盖</w:t>
      </w:r>
      <w:bookmarkStart w:id="0" w:name="_GoBack"/>
      <w:bookmarkEnd w:id="0"/>
      <w:r>
        <w:rPr>
          <w:rFonts w:ascii="Times New Roman" w:hAnsi="Times New Roman" w:eastAsia="仿宋_GB2312" w:cs="Times New Roman"/>
          <w:sz w:val="32"/>
          <w:szCs w:val="32"/>
          <w:u w:val="single"/>
        </w:rPr>
        <w:t xml:space="preserve">章）        </w:t>
      </w:r>
    </w:p>
    <w:p>
      <w:pPr>
        <w:spacing w:line="600" w:lineRule="exact"/>
        <w:ind w:firstLine="3200" w:firstLineChars="1000"/>
        <w:rPr>
          <w:rFonts w:ascii="Times New Roman" w:hAnsi="Times New Roman" w:eastAsia="楷体_GB2312" w:cs="Times New Roman"/>
          <w:sz w:val="32"/>
          <w:szCs w:val="32"/>
        </w:rPr>
      </w:pPr>
      <w:r>
        <w:rPr>
          <w:rFonts w:ascii="Times New Roman" w:hAnsi="Times New Roman" w:eastAsia="楷体_GB2312" w:cs="Times New Roman"/>
          <w:sz w:val="32"/>
          <w:szCs w:val="32"/>
        </w:rPr>
        <w:t>年  月  日</w:t>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pStyle w:val="3"/>
        <w:ind w:left="0"/>
      </w:pPr>
    </w:p>
    <w:p>
      <w:pPr>
        <w:spacing w:afterLines="100" w:line="560" w:lineRule="exact"/>
        <w:ind w:firstLine="1000" w:firstLineChars="200"/>
        <w:jc w:val="center"/>
        <w:rPr>
          <w:rFonts w:hint="eastAsia" w:asciiTheme="majorEastAsia" w:hAnsiTheme="majorEastAsia" w:eastAsiaTheme="majorEastAsia" w:cstheme="majorEastAsia"/>
          <w:b/>
          <w:bCs/>
          <w:spacing w:val="9"/>
          <w:sz w:val="48"/>
          <w:szCs w:val="48"/>
        </w:rPr>
      </w:pPr>
    </w:p>
    <w:p>
      <w:pPr>
        <w:spacing w:afterLines="100" w:line="560" w:lineRule="exact"/>
        <w:ind w:firstLine="1000" w:firstLineChars="200"/>
        <w:jc w:val="center"/>
        <w:rPr>
          <w:rFonts w:hint="eastAsia" w:asciiTheme="majorEastAsia" w:hAnsiTheme="majorEastAsia" w:eastAsiaTheme="majorEastAsia" w:cstheme="majorEastAsia"/>
          <w:b/>
          <w:bCs/>
          <w:spacing w:val="9"/>
          <w:sz w:val="48"/>
          <w:szCs w:val="48"/>
        </w:rPr>
      </w:pPr>
      <w:r>
        <w:rPr>
          <w:rFonts w:hint="eastAsia" w:asciiTheme="majorEastAsia" w:hAnsiTheme="majorEastAsia" w:eastAsiaTheme="majorEastAsia" w:cstheme="majorEastAsia"/>
          <w:b/>
          <w:bCs/>
          <w:spacing w:val="9"/>
          <w:sz w:val="48"/>
          <w:szCs w:val="48"/>
        </w:rPr>
        <w:t>部门整体支出绩效评价报告</w:t>
      </w:r>
    </w:p>
    <w:p>
      <w:pPr>
        <w:pStyle w:val="2"/>
        <w:rPr>
          <w:rFonts w:hint="eastAsia" w:eastAsiaTheme="minorEastAsia"/>
        </w:rPr>
      </w:pPr>
    </w:p>
    <w:p>
      <w:pPr>
        <w:spacing w:line="360" w:lineRule="auto"/>
        <w:ind w:firstLine="668" w:firstLineChars="200"/>
        <w:rPr>
          <w:rFonts w:ascii="仿宋" w:hAnsi="仿宋" w:eastAsia="仿宋" w:cs="黑体"/>
          <w:bCs/>
          <w:sz w:val="32"/>
          <w:szCs w:val="32"/>
        </w:rPr>
      </w:pPr>
      <w:r>
        <w:rPr>
          <w:rFonts w:hint="eastAsia" w:ascii="仿宋" w:hAnsi="仿宋" w:eastAsia="仿宋" w:cs="黑体"/>
          <w:bCs/>
          <w:spacing w:val="7"/>
          <w:sz w:val="32"/>
          <w:szCs w:val="32"/>
        </w:rPr>
        <w:t>一</w:t>
      </w:r>
      <w:r>
        <w:rPr>
          <w:rFonts w:hint="eastAsia" w:ascii="仿宋" w:hAnsi="仿宋" w:eastAsia="仿宋" w:cs="黑体"/>
          <w:bCs/>
          <w:spacing w:val="8"/>
          <w:sz w:val="32"/>
          <w:szCs w:val="32"/>
        </w:rPr>
        <w:t>、</w:t>
      </w:r>
      <w:r>
        <w:rPr>
          <w:rFonts w:hint="eastAsia" w:ascii="仿宋" w:hAnsi="仿宋" w:eastAsia="仿宋" w:cs="黑体"/>
          <w:bCs/>
          <w:spacing w:val="7"/>
          <w:sz w:val="32"/>
          <w:szCs w:val="32"/>
        </w:rPr>
        <w:t>部门概况</w:t>
      </w:r>
    </w:p>
    <w:p>
      <w:pPr>
        <w:shd w:val="clear" w:color="auto" w:fill="FFFFFF"/>
        <w:kinsoku/>
        <w:autoSpaceDE/>
        <w:autoSpaceDN/>
        <w:adjustRightInd/>
        <w:snapToGrid/>
        <w:spacing w:line="360" w:lineRule="auto"/>
        <w:ind w:firstLine="640"/>
        <w:jc w:val="both"/>
        <w:textAlignment w:val="auto"/>
        <w:rPr>
          <w:rFonts w:ascii="仿宋" w:hAnsi="仿宋" w:eastAsia="仿宋" w:cs="楷体_GB2312"/>
          <w:snapToGrid/>
          <w:spacing w:val="-2"/>
          <w:kern w:val="2"/>
          <w:sz w:val="32"/>
          <w:szCs w:val="32"/>
        </w:rPr>
      </w:pPr>
      <w:r>
        <w:rPr>
          <w:rFonts w:hint="eastAsia" w:ascii="仿宋" w:hAnsi="仿宋" w:eastAsia="仿宋" w:cs="楷体_GB2312"/>
          <w:snapToGrid/>
          <w:spacing w:val="-2"/>
          <w:kern w:val="2"/>
          <w:sz w:val="32"/>
          <w:szCs w:val="32"/>
        </w:rPr>
        <w:t>（一）部门基本情况</w:t>
      </w:r>
    </w:p>
    <w:p>
      <w:pPr>
        <w:spacing w:line="600" w:lineRule="exact"/>
        <w:ind w:firstLine="640" w:firstLineChars="200"/>
        <w:outlineLvl w:val="0"/>
        <w:rPr>
          <w:rFonts w:ascii="仿宋" w:hAnsi="仿宋" w:eastAsia="仿宋" w:cs="仿宋"/>
        </w:rPr>
      </w:pPr>
      <w:r>
        <w:rPr>
          <w:rFonts w:hint="eastAsia" w:ascii="仿宋" w:hAnsi="仿宋" w:eastAsia="仿宋" w:cs="仿宋"/>
          <w:bCs/>
          <w:sz w:val="32"/>
          <w:szCs w:val="32"/>
          <w:shd w:val="clear" w:color="auto" w:fill="FFFFFF"/>
        </w:rPr>
        <w:t>1、在职人员情况、机构设置</w:t>
      </w:r>
    </w:p>
    <w:p>
      <w:pPr>
        <w:spacing w:line="600" w:lineRule="atLeast"/>
        <w:ind w:firstLine="640"/>
        <w:rPr>
          <w:rFonts w:ascii="仿宋" w:hAnsi="仿宋" w:eastAsia="仿宋" w:cs="仿宋"/>
        </w:rPr>
      </w:pPr>
      <w:r>
        <w:rPr>
          <w:rFonts w:hint="eastAsia" w:ascii="仿宋" w:hAnsi="仿宋" w:eastAsia="仿宋" w:cs="仿宋"/>
          <w:sz w:val="32"/>
          <w:szCs w:val="32"/>
          <w:shd w:val="clear" w:color="auto" w:fill="FFFFFF"/>
        </w:rPr>
        <w:t>怀化市公共资源交易中心（以下简称我单位）</w:t>
      </w:r>
      <w:r>
        <w:rPr>
          <w:rFonts w:hint="eastAsia" w:ascii="仿宋" w:hAnsi="仿宋" w:eastAsia="仿宋" w:cs="仿宋"/>
          <w:spacing w:val="-2"/>
          <w:sz w:val="32"/>
          <w:szCs w:val="32"/>
          <w:shd w:val="clear" w:color="auto" w:fill="FFFFFF"/>
        </w:rPr>
        <w:t>纳入一般公共财政预算。截止2021年底，编制人数为54人，在岗人员63人，其中财政补助事业编制54人，合同制人员9人。</w:t>
      </w:r>
    </w:p>
    <w:p>
      <w:pPr>
        <w:shd w:val="clear" w:color="auto" w:fill="FFFFFF"/>
        <w:spacing w:line="600" w:lineRule="atLeast"/>
        <w:ind w:firstLine="640"/>
        <w:rPr>
          <w:rFonts w:hint="eastAsia" w:ascii="仿宋" w:hAnsi="仿宋" w:eastAsia="仿宋" w:cs="仿宋"/>
          <w:spacing w:val="-2"/>
          <w:sz w:val="32"/>
          <w:szCs w:val="32"/>
          <w:shd w:val="clear" w:color="auto" w:fill="FFFFFF"/>
        </w:rPr>
      </w:pPr>
      <w:r>
        <w:rPr>
          <w:rFonts w:hint="eastAsia" w:ascii="仿宋" w:hAnsi="仿宋" w:eastAsia="仿宋" w:cs="仿宋"/>
          <w:sz w:val="32"/>
          <w:szCs w:val="32"/>
          <w:shd w:val="clear" w:color="auto" w:fill="FFFFFF"/>
        </w:rPr>
        <w:t>我单位为</w:t>
      </w:r>
      <w:r>
        <w:rPr>
          <w:rFonts w:hint="eastAsia" w:ascii="仿宋" w:hAnsi="仿宋" w:eastAsia="仿宋" w:cs="仿宋"/>
          <w:spacing w:val="-2"/>
          <w:sz w:val="32"/>
          <w:szCs w:val="32"/>
          <w:shd w:val="clear" w:color="auto" w:fill="FFFFFF"/>
        </w:rPr>
        <w:t>市政府直属正处级公益一类差额拨款事业单位，内设办公室、财务部、监督部、技术信息与市场服务部、国土资源交易部、建设工作交易部、政府采购交易部、国资产权和特殊资源交易部8个部室。</w:t>
      </w:r>
    </w:p>
    <w:p>
      <w:pPr>
        <w:pStyle w:val="2"/>
        <w:rPr>
          <w:rFonts w:hint="eastAsia" w:eastAsiaTheme="minorEastAsia"/>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2、主要职能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（1）宣传和贯彻落实国家、省、市公共资源交易有关法律、法规和政策。</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（2）负责市级公共资源交易平台及信息网络系统建设、运行、管理；依法依规为全市各类公共资源交易活动提供场所、设施和服务；在相关部门监督下，承担评标专家抽取有关工作。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（3）会同有关部门研究制定公共资源进场交易的技术标准、交易流程、操作流程和现场管理制度；为电子交易和监管系统提供对接服务。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（4）依法对交易各方、中介机构的进场交易资格进行核验，对交易人进行登记；组织平台内的交易活动，维护交易现场秩序。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负责收集、存储和发布各类公共资源交易信息；记录、整理、保存交易过程中相关资料（含录音录像资料）；开展公共资源交易活动情况统计、分析；依托统一的社会信用代码建立公共资源交易市场主体信用信息库，为交易各方主体、社会公众及行政监管部门提供信息咨询服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为行业监管、行政监察提供平台服务，协助配合行政监督部门、纪检监察机关的执法工作；对参与平台内交易活动的相关人员、机构活动进行评估；记录、留存违反交易现场管理制度行为的证据资料，及时报告公共资源交易活动中的违法违规行为并协助进行调查处理。</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（7）完成市委、市政府和市公共资源交易管理委员会交办的其他事项。</w:t>
      </w:r>
    </w:p>
    <w:p>
      <w:pPr>
        <w:pStyle w:val="2"/>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3、主要工作任务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（1）宣传和贯彻落实国家、省、市公共资源交易有关法律、法规和政策。</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（2）负责市级公共资源交易平台及信息网络系统建设、运行、管理；依法依规为全市各类公共资源交易活动提供场所、设施和服务；在相关部门监督下，承担评标专家抽取有关工作。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（3）会同有关部门研究制定公共资源进场交易的技术标准、交易流程、操作流程和现场管理制度；为电子交易和监管系统提供对接服务。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（4）依法对交易各方、中介机构的进场交易资格进行核验，对交易人进行登记；组织平台内的交易活动，维护交易现场秩序。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5）负责收集、存储和发布各类公共资源交易信息；记录、整理、保存交易过程中相关资料（含录音录像资料）；开展公共资源交易活动情况统计、分析；依托统一的社会信用代码建立公共资源交易市场主体信用信息库，为交易各方主体、社会公众及行政监管部门提供信息咨询服务。</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6）为行业监管、行政监察提供平台服务，协助配合行政监督部门、纪检监察机关的执法工作；对参与平台内交易活动的相关人员、机构活动进行评估；记录、留存违反交易现场管理制度行为的证据资料，及时报告公共资源交易活动中的违法违规行为并协助进行调查处理。</w:t>
      </w:r>
    </w:p>
    <w:p>
      <w:pPr>
        <w:spacing w:line="360" w:lineRule="auto"/>
        <w:ind w:firstLine="640" w:firstLineChars="200"/>
        <w:rPr>
          <w:rFonts w:ascii="仿宋" w:hAnsi="仿宋" w:eastAsia="仿宋"/>
        </w:rPr>
      </w:pPr>
      <w:r>
        <w:rPr>
          <w:rFonts w:hint="eastAsia" w:ascii="仿宋" w:hAnsi="仿宋" w:eastAsia="仿宋" w:cs="仿宋_GB2312"/>
          <w:sz w:val="32"/>
          <w:szCs w:val="32"/>
        </w:rPr>
        <w:t>（7）完成市委、市政府和市公共资源交易管理委员会交办的其他事项。</w:t>
      </w:r>
    </w:p>
    <w:p>
      <w:pPr>
        <w:shd w:val="clear" w:color="auto" w:fill="FFFFFF"/>
        <w:kinsoku/>
        <w:autoSpaceDE/>
        <w:autoSpaceDN/>
        <w:adjustRightInd/>
        <w:snapToGrid/>
        <w:spacing w:line="360" w:lineRule="auto"/>
        <w:ind w:firstLine="640"/>
        <w:jc w:val="both"/>
        <w:textAlignment w:val="auto"/>
        <w:rPr>
          <w:rFonts w:ascii="仿宋" w:hAnsi="仿宋" w:eastAsia="仿宋" w:cs="楷体_GB2312"/>
          <w:snapToGrid/>
          <w:spacing w:val="-2"/>
          <w:kern w:val="2"/>
          <w:sz w:val="32"/>
          <w:szCs w:val="32"/>
        </w:rPr>
      </w:pPr>
      <w:r>
        <w:rPr>
          <w:rFonts w:hint="eastAsia" w:ascii="仿宋" w:hAnsi="仿宋" w:eastAsia="仿宋" w:cs="楷体_GB2312"/>
          <w:snapToGrid/>
          <w:spacing w:val="-2"/>
          <w:kern w:val="2"/>
          <w:sz w:val="32"/>
          <w:szCs w:val="32"/>
        </w:rPr>
        <w:t>（二）部门整体支出情况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收入预算，2021年年初预算数1983万元，其中，一般公共预算拨款0万元，政府性基金预算拨款0万元，纳入财政专户管理的非税收入拨款1983万元，国有资本经营预算拨款0万元。收入较去年减少83.5万元，主要原因是因为疫情导致交易量减少。</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支出预算，2021年年初预算数1983万元，其中工资福利支出1031万元，商品和服务支出872万元，对个人和家庭的补助30万元，资本性支出50万元。主要是人员支出。支出总额较去年减少83.5万元，主要原因是压缩各项开支。  </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3、支出决算，2021年部门决算总支出1477.88万元，均为基本支出。</w:t>
      </w:r>
    </w:p>
    <w:p>
      <w:pPr>
        <w:numPr>
          <w:ilvl w:val="0"/>
          <w:numId w:val="1"/>
        </w:numPr>
        <w:shd w:val="clear" w:color="auto" w:fill="FFFFFF"/>
        <w:spacing w:line="360" w:lineRule="auto"/>
        <w:ind w:firstLine="640"/>
        <w:rPr>
          <w:rFonts w:ascii="仿宋" w:hAnsi="仿宋" w:eastAsia="仿宋" w:cs="仿宋_GB2312"/>
          <w:sz w:val="32"/>
          <w:szCs w:val="32"/>
        </w:rPr>
      </w:pPr>
      <w:r>
        <w:rPr>
          <w:rFonts w:hint="eastAsia" w:ascii="仿宋" w:hAnsi="仿宋" w:eastAsia="仿宋" w:cs="黑体"/>
          <w:bCs/>
          <w:spacing w:val="-2"/>
          <w:sz w:val="32"/>
          <w:szCs w:val="32"/>
        </w:rPr>
        <w:t>部门整体支出管理及使用情况</w:t>
      </w:r>
    </w:p>
    <w:p>
      <w:pPr>
        <w:shd w:val="clear" w:color="auto" w:fill="FFFFFF"/>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（一）基本支出</w:t>
      </w:r>
    </w:p>
    <w:p>
      <w:pPr>
        <w:pStyle w:val="7"/>
        <w:shd w:val="clear" w:color="auto" w:fill="FFFFFF"/>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2021年部门预算总收入1983万元，均为事业收入。2021年部门决算总收入1477.88万元，其中一般公共预算拨款6.98万元、事业收入1330万元、使用非财政拨款结余138.30万元、上年结转和结余2.60万元。</w:t>
      </w:r>
    </w:p>
    <w:p>
      <w:pPr>
        <w:pStyle w:val="7"/>
        <w:shd w:val="clear" w:color="auto" w:fill="FFFFFF"/>
        <w:spacing w:before="0" w:beforeAutospacing="0" w:after="0" w:afterAutospacing="0"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2021年部门决算总支出1477.88万元，均为基本支出。</w:t>
      </w:r>
    </w:p>
    <w:p>
      <w:pPr>
        <w:pStyle w:val="12"/>
        <w:spacing w:line="360" w:lineRule="auto"/>
        <w:ind w:firstLine="640"/>
        <w:rPr>
          <w:rFonts w:ascii="仿宋" w:hAnsi="仿宋" w:eastAsia="仿宋" w:cs="仿宋_GB2312"/>
          <w:sz w:val="32"/>
          <w:szCs w:val="32"/>
        </w:rPr>
      </w:pPr>
      <w:r>
        <w:rPr>
          <w:rFonts w:hint="eastAsia" w:ascii="仿宋" w:hAnsi="仿宋" w:eastAsia="仿宋" w:cs="仿宋_GB2312"/>
          <w:sz w:val="32"/>
          <w:szCs w:val="32"/>
        </w:rPr>
        <w:t>2．“三公经费”支出使用</w:t>
      </w:r>
    </w:p>
    <w:p>
      <w:pPr>
        <w:pStyle w:val="12"/>
        <w:spacing w:line="360" w:lineRule="auto"/>
        <w:ind w:firstLine="640"/>
        <w:rPr>
          <w:rFonts w:ascii="Times New Roman" w:hAnsi="Times New Roman" w:eastAsia="仿宋_GB2312" w:cs="仿宋_GB2312"/>
          <w:sz w:val="32"/>
          <w:szCs w:val="32"/>
        </w:rPr>
      </w:pPr>
      <w:r>
        <w:rPr>
          <w:rFonts w:hint="eastAsia" w:ascii="仿宋" w:hAnsi="仿宋" w:eastAsia="仿宋" w:cs="仿宋_GB2312"/>
          <w:sz w:val="32"/>
          <w:szCs w:val="32"/>
        </w:rPr>
        <w:t>（1）2021年“三公经费支出情况</w:t>
      </w:r>
      <w:r>
        <w:rPr>
          <w:rFonts w:hint="eastAsia" w:ascii="Times New Roman" w:hAnsi="Times New Roman" w:eastAsia="仿宋_GB2312" w:cs="仿宋_GB2312"/>
          <w:sz w:val="32"/>
          <w:szCs w:val="32"/>
        </w:rPr>
        <w:t>”</w:t>
      </w:r>
    </w:p>
    <w:p>
      <w:pPr>
        <w:pStyle w:val="12"/>
        <w:spacing w:line="360" w:lineRule="auto"/>
        <w:ind w:firstLine="7260" w:firstLineChars="3300"/>
        <w:rPr>
          <w:rFonts w:ascii="Times New Roman" w:hAnsi="Times New Roman" w:eastAsia="仿宋_GB2312" w:cs="仿宋_GB2312"/>
          <w:sz w:val="22"/>
        </w:rPr>
      </w:pPr>
      <w:r>
        <w:rPr>
          <w:rFonts w:hint="eastAsia" w:ascii="Times New Roman" w:hAnsi="Times New Roman" w:eastAsia="仿宋_GB2312" w:cs="仿宋_GB2312"/>
          <w:sz w:val="22"/>
        </w:rPr>
        <w:t>单位：元</w:t>
      </w:r>
    </w:p>
    <w:tbl>
      <w:tblPr>
        <w:tblStyle w:val="8"/>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2083"/>
        <w:gridCol w:w="2083"/>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2083" w:type="dxa"/>
            <w:vAlign w:val="center"/>
          </w:tcPr>
          <w:p>
            <w:pPr>
              <w:spacing w:line="400" w:lineRule="exact"/>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费用项目</w:t>
            </w:r>
          </w:p>
        </w:tc>
        <w:tc>
          <w:tcPr>
            <w:tcW w:w="2083" w:type="dxa"/>
            <w:vAlign w:val="center"/>
          </w:tcPr>
          <w:p>
            <w:pPr>
              <w:spacing w:line="400" w:lineRule="exact"/>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本年预算金额</w:t>
            </w:r>
          </w:p>
        </w:tc>
        <w:tc>
          <w:tcPr>
            <w:tcW w:w="2083" w:type="dxa"/>
            <w:vAlign w:val="center"/>
          </w:tcPr>
          <w:p>
            <w:pPr>
              <w:spacing w:line="400" w:lineRule="exact"/>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本年决算金额</w:t>
            </w:r>
          </w:p>
        </w:tc>
        <w:tc>
          <w:tcPr>
            <w:tcW w:w="2083" w:type="dxa"/>
            <w:vAlign w:val="center"/>
          </w:tcPr>
          <w:p>
            <w:pPr>
              <w:spacing w:line="400" w:lineRule="exact"/>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结余“-”/</w:t>
            </w:r>
          </w:p>
          <w:p>
            <w:pPr>
              <w:spacing w:line="400" w:lineRule="exact"/>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超支“+”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400" w:lineRule="exact"/>
              <w:jc w:val="center"/>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公务接待费</w:t>
            </w:r>
          </w:p>
        </w:tc>
        <w:tc>
          <w:tcPr>
            <w:tcW w:w="2083" w:type="dxa"/>
            <w:vAlign w:val="center"/>
          </w:tcPr>
          <w:p>
            <w:pPr>
              <w:spacing w:line="400" w:lineRule="exact"/>
              <w:jc w:val="right"/>
              <w:rPr>
                <w:rFonts w:ascii="Times New Roman" w:hAnsi="Times New Roman" w:eastAsia="仿宋_GB2312" w:cs="仿宋_GB2312"/>
                <w:bCs/>
                <w:color w:val="auto"/>
                <w:sz w:val="22"/>
                <w:szCs w:val="22"/>
              </w:rPr>
            </w:pPr>
            <w:r>
              <w:rPr>
                <w:rFonts w:hint="eastAsia" w:ascii="Times New Roman" w:hAnsi="Times New Roman" w:eastAsia="仿宋_GB2312" w:cs="仿宋_GB2312"/>
                <w:bCs/>
                <w:color w:val="auto"/>
                <w:sz w:val="22"/>
                <w:szCs w:val="22"/>
              </w:rPr>
              <w:t>30,000.00</w:t>
            </w:r>
          </w:p>
        </w:tc>
        <w:tc>
          <w:tcPr>
            <w:tcW w:w="2083" w:type="dxa"/>
            <w:vAlign w:val="center"/>
          </w:tcPr>
          <w:p>
            <w:pPr>
              <w:spacing w:line="400" w:lineRule="exact"/>
              <w:jc w:val="right"/>
              <w:rPr>
                <w:rFonts w:ascii="Times New Roman" w:hAnsi="Times New Roman" w:eastAsia="仿宋_GB2312" w:cs="仿宋_GB2312"/>
                <w:bCs/>
                <w:color w:val="auto"/>
                <w:sz w:val="22"/>
                <w:szCs w:val="22"/>
              </w:rPr>
            </w:pPr>
            <w:r>
              <w:rPr>
                <w:rFonts w:ascii="Times New Roman" w:hAnsi="Times New Roman" w:eastAsia="仿宋_GB2312" w:cs="仿宋_GB2312"/>
                <w:bCs/>
                <w:color w:val="auto"/>
                <w:sz w:val="22"/>
                <w:szCs w:val="22"/>
              </w:rPr>
              <w:t>7269.00</w:t>
            </w:r>
          </w:p>
        </w:tc>
        <w:tc>
          <w:tcPr>
            <w:tcW w:w="2083" w:type="dxa"/>
            <w:vAlign w:val="center"/>
          </w:tcPr>
          <w:p>
            <w:pPr>
              <w:spacing w:line="400" w:lineRule="exact"/>
              <w:jc w:val="right"/>
              <w:rPr>
                <w:rFonts w:ascii="Times New Roman" w:hAnsi="Times New Roman" w:eastAsia="仿宋_GB2312" w:cs="仿宋_GB2312"/>
                <w:bCs/>
                <w:color w:val="auto"/>
                <w:sz w:val="22"/>
                <w:szCs w:val="22"/>
              </w:rPr>
            </w:pPr>
            <w:r>
              <w:rPr>
                <w:rFonts w:ascii="Times New Roman" w:hAnsi="Times New Roman" w:eastAsia="仿宋_GB2312" w:cs="仿宋_GB2312"/>
                <w:bCs/>
                <w:color w:val="auto"/>
                <w:sz w:val="22"/>
                <w:szCs w:val="22"/>
              </w:rPr>
              <w:t>-22731.00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400" w:lineRule="exact"/>
              <w:jc w:val="center"/>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公务用车购置及运行维护费</w:t>
            </w:r>
          </w:p>
        </w:tc>
        <w:tc>
          <w:tcPr>
            <w:tcW w:w="2083" w:type="dxa"/>
            <w:vAlign w:val="center"/>
          </w:tcPr>
          <w:p>
            <w:pPr>
              <w:spacing w:line="400" w:lineRule="exact"/>
              <w:jc w:val="right"/>
              <w:rPr>
                <w:rFonts w:ascii="Times New Roman" w:hAnsi="Times New Roman" w:eastAsia="仿宋_GB2312" w:cs="仿宋_GB2312"/>
                <w:bCs/>
                <w:color w:val="auto"/>
                <w:sz w:val="22"/>
                <w:szCs w:val="22"/>
              </w:rPr>
            </w:pPr>
            <w:r>
              <w:rPr>
                <w:rFonts w:hint="eastAsia" w:ascii="Times New Roman" w:hAnsi="Times New Roman" w:eastAsia="仿宋_GB2312" w:cs="仿宋_GB2312"/>
                <w:bCs/>
                <w:color w:val="auto"/>
                <w:sz w:val="22"/>
                <w:szCs w:val="22"/>
              </w:rPr>
              <w:t>60,000.00</w:t>
            </w:r>
          </w:p>
        </w:tc>
        <w:tc>
          <w:tcPr>
            <w:tcW w:w="2083" w:type="dxa"/>
            <w:vAlign w:val="center"/>
          </w:tcPr>
          <w:p>
            <w:pPr>
              <w:spacing w:line="400" w:lineRule="exact"/>
              <w:jc w:val="right"/>
              <w:rPr>
                <w:rFonts w:ascii="Times New Roman" w:hAnsi="Times New Roman" w:eastAsia="仿宋_GB2312" w:cs="仿宋_GB2312"/>
                <w:bCs/>
                <w:color w:val="auto"/>
                <w:sz w:val="22"/>
                <w:szCs w:val="22"/>
              </w:rPr>
            </w:pPr>
            <w:r>
              <w:rPr>
                <w:rFonts w:hint="eastAsia" w:ascii="Times New Roman" w:hAnsi="Times New Roman" w:eastAsia="仿宋_GB2312" w:cs="仿宋_GB2312"/>
                <w:bCs/>
                <w:color w:val="auto"/>
                <w:sz w:val="22"/>
                <w:szCs w:val="22"/>
              </w:rPr>
              <w:t>0.00</w:t>
            </w:r>
          </w:p>
        </w:tc>
        <w:tc>
          <w:tcPr>
            <w:tcW w:w="2083" w:type="dxa"/>
            <w:vAlign w:val="center"/>
          </w:tcPr>
          <w:p>
            <w:pPr>
              <w:spacing w:line="400" w:lineRule="exact"/>
              <w:jc w:val="right"/>
              <w:rPr>
                <w:rFonts w:ascii="Times New Roman" w:hAnsi="Times New Roman" w:eastAsia="仿宋_GB2312" w:cs="仿宋_GB2312"/>
                <w:bCs/>
                <w:color w:val="auto"/>
                <w:sz w:val="22"/>
                <w:szCs w:val="22"/>
              </w:rPr>
            </w:pPr>
            <w:r>
              <w:rPr>
                <w:rFonts w:ascii="Times New Roman" w:hAnsi="Times New Roman" w:eastAsia="仿宋_GB2312" w:cs="仿宋_GB2312"/>
                <w:bCs/>
                <w:color w:val="auto"/>
                <w:sz w:val="22"/>
                <w:szCs w:val="22"/>
              </w:rPr>
              <w:t>-</w:t>
            </w:r>
            <w:r>
              <w:rPr>
                <w:rFonts w:hint="eastAsia" w:ascii="Times New Roman" w:hAnsi="Times New Roman" w:eastAsia="仿宋_GB2312" w:cs="仿宋_GB2312"/>
                <w:bCs/>
                <w:color w:val="auto"/>
                <w:sz w:val="22"/>
                <w:szCs w:val="22"/>
              </w:rPr>
              <w:t>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400" w:lineRule="exact"/>
              <w:jc w:val="center"/>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因公出国费用</w:t>
            </w:r>
          </w:p>
        </w:tc>
        <w:tc>
          <w:tcPr>
            <w:tcW w:w="2083" w:type="dxa"/>
            <w:vAlign w:val="center"/>
          </w:tcPr>
          <w:p>
            <w:pPr>
              <w:spacing w:line="400" w:lineRule="exact"/>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c>
          <w:tcPr>
            <w:tcW w:w="2083" w:type="dxa"/>
            <w:vAlign w:val="center"/>
          </w:tcPr>
          <w:p>
            <w:pPr>
              <w:spacing w:line="400" w:lineRule="exact"/>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c>
          <w:tcPr>
            <w:tcW w:w="2083" w:type="dxa"/>
            <w:vAlign w:val="center"/>
          </w:tcPr>
          <w:p>
            <w:pPr>
              <w:spacing w:line="400" w:lineRule="exact"/>
              <w:jc w:val="right"/>
              <w:rPr>
                <w:rFonts w:ascii="Times New Roman" w:hAnsi="Times New Roman" w:eastAsia="仿宋_GB2312" w:cs="仿宋_GB2312"/>
                <w:bCs/>
                <w:sz w:val="22"/>
                <w:szCs w:val="22"/>
              </w:rPr>
            </w:pPr>
            <w:r>
              <w:rPr>
                <w:rFonts w:hint="eastAsia" w:ascii="Times New Roman" w:hAnsi="Times New Roman" w:eastAsia="仿宋_GB2312" w:cs="仿宋_GB2312"/>
                <w:bCs/>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83" w:type="dxa"/>
            <w:vAlign w:val="center"/>
          </w:tcPr>
          <w:p>
            <w:pPr>
              <w:spacing w:line="400" w:lineRule="exact"/>
              <w:jc w:val="center"/>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合计</w:t>
            </w:r>
          </w:p>
        </w:tc>
        <w:tc>
          <w:tcPr>
            <w:tcW w:w="2083" w:type="dxa"/>
            <w:vAlign w:val="center"/>
          </w:tcPr>
          <w:p>
            <w:pPr>
              <w:spacing w:line="400" w:lineRule="exact"/>
              <w:jc w:val="right"/>
              <w:rPr>
                <w:rFonts w:ascii="Times New Roman" w:hAnsi="Times New Roman" w:eastAsia="仿宋_GB2312" w:cs="仿宋_GB2312"/>
                <w:b/>
                <w:sz w:val="22"/>
                <w:szCs w:val="22"/>
              </w:rPr>
            </w:pPr>
            <w:r>
              <w:rPr>
                <w:rFonts w:hint="eastAsia" w:ascii="Times New Roman" w:hAnsi="Times New Roman" w:eastAsia="仿宋_GB2312" w:cs="仿宋_GB2312"/>
                <w:b/>
                <w:sz w:val="22"/>
                <w:szCs w:val="22"/>
              </w:rPr>
              <w:t>90,000.00</w:t>
            </w:r>
          </w:p>
        </w:tc>
        <w:tc>
          <w:tcPr>
            <w:tcW w:w="2083" w:type="dxa"/>
            <w:vAlign w:val="center"/>
          </w:tcPr>
          <w:p>
            <w:pPr>
              <w:spacing w:line="400" w:lineRule="exact"/>
              <w:jc w:val="right"/>
              <w:rPr>
                <w:rFonts w:ascii="Times New Roman" w:hAnsi="Times New Roman" w:eastAsia="仿宋_GB2312" w:cs="仿宋_GB2312"/>
                <w:b/>
                <w:sz w:val="22"/>
                <w:szCs w:val="22"/>
              </w:rPr>
            </w:pPr>
            <w:r>
              <w:rPr>
                <w:rFonts w:ascii="Times New Roman" w:hAnsi="Times New Roman" w:eastAsia="仿宋_GB2312" w:cs="仿宋_GB2312"/>
                <w:b/>
                <w:sz w:val="22"/>
                <w:szCs w:val="22"/>
              </w:rPr>
              <w:t>7269.00</w:t>
            </w:r>
          </w:p>
        </w:tc>
        <w:tc>
          <w:tcPr>
            <w:tcW w:w="2083" w:type="dxa"/>
            <w:vAlign w:val="center"/>
          </w:tcPr>
          <w:p>
            <w:pPr>
              <w:spacing w:line="400" w:lineRule="exact"/>
              <w:jc w:val="right"/>
              <w:rPr>
                <w:rFonts w:ascii="Times New Roman" w:hAnsi="Times New Roman" w:eastAsia="仿宋_GB2312" w:cs="仿宋_GB2312"/>
                <w:b/>
                <w:sz w:val="22"/>
                <w:szCs w:val="22"/>
              </w:rPr>
            </w:pPr>
            <w:r>
              <w:rPr>
                <w:rFonts w:ascii="Times New Roman" w:hAnsi="Times New Roman" w:eastAsia="仿宋_GB2312" w:cs="仿宋_GB2312"/>
                <w:b/>
                <w:sz w:val="22"/>
                <w:szCs w:val="22"/>
              </w:rPr>
              <w:t>-82731</w:t>
            </w:r>
          </w:p>
        </w:tc>
      </w:tr>
    </w:tbl>
    <w:p>
      <w:pPr>
        <w:pStyle w:val="12"/>
        <w:spacing w:line="360" w:lineRule="auto"/>
        <w:ind w:firstLine="640"/>
        <w:rPr>
          <w:rFonts w:ascii="仿宋" w:hAnsi="仿宋" w:eastAsia="仿宋" w:cs="仿宋_GB2312"/>
          <w:color w:val="auto"/>
          <w:sz w:val="32"/>
          <w:szCs w:val="32"/>
        </w:rPr>
      </w:pPr>
      <w:r>
        <w:rPr>
          <w:rFonts w:hint="eastAsia" w:ascii="仿宋" w:hAnsi="仿宋" w:eastAsia="仿宋" w:cs="仿宋_GB2312"/>
          <w:color w:val="auto"/>
          <w:sz w:val="32"/>
          <w:szCs w:val="32"/>
        </w:rPr>
        <w:t>从上表分析，2021年三公经费预算支出90,000.00元，决算支出</w:t>
      </w:r>
      <w:r>
        <w:rPr>
          <w:rFonts w:ascii="仿宋" w:hAnsi="仿宋" w:eastAsia="仿宋" w:cs="仿宋_GB2312"/>
          <w:color w:val="auto"/>
          <w:sz w:val="32"/>
          <w:szCs w:val="32"/>
        </w:rPr>
        <w:t>7269</w:t>
      </w:r>
      <w:r>
        <w:rPr>
          <w:rFonts w:hint="eastAsia" w:ascii="仿宋" w:hAnsi="仿宋" w:eastAsia="仿宋" w:cs="仿宋_GB2312"/>
          <w:color w:val="auto"/>
          <w:sz w:val="32"/>
          <w:szCs w:val="32"/>
        </w:rPr>
        <w:t>.00元，结余</w:t>
      </w:r>
      <w:r>
        <w:rPr>
          <w:rFonts w:ascii="仿宋" w:hAnsi="仿宋" w:eastAsia="仿宋" w:cs="仿宋_GB2312"/>
          <w:color w:val="auto"/>
          <w:sz w:val="32"/>
          <w:szCs w:val="32"/>
        </w:rPr>
        <w:t>82731</w:t>
      </w:r>
      <w:r>
        <w:rPr>
          <w:rFonts w:hint="eastAsia" w:ascii="仿宋" w:hAnsi="仿宋" w:eastAsia="仿宋" w:cs="仿宋_GB2312"/>
          <w:color w:val="auto"/>
          <w:sz w:val="32"/>
          <w:szCs w:val="32"/>
        </w:rPr>
        <w:t>元，三公经费总额控制在预算范围内。</w:t>
      </w:r>
    </w:p>
    <w:p>
      <w:pPr>
        <w:pStyle w:val="12"/>
        <w:spacing w:line="360" w:lineRule="auto"/>
        <w:ind w:firstLine="640"/>
        <w:rPr>
          <w:rFonts w:ascii="仿宋" w:hAnsi="仿宋" w:eastAsia="仿宋" w:cs="仿宋_GB2312"/>
          <w:color w:val="auto"/>
          <w:sz w:val="32"/>
          <w:szCs w:val="32"/>
          <w:highlight w:val="yellow"/>
        </w:rPr>
      </w:pPr>
      <w:r>
        <w:rPr>
          <w:rFonts w:hint="eastAsia" w:ascii="仿宋" w:hAnsi="仿宋" w:eastAsia="仿宋" w:cs="仿宋_GB2312"/>
          <w:color w:val="auto"/>
          <w:sz w:val="32"/>
          <w:szCs w:val="32"/>
        </w:rPr>
        <w:t>从三公经费的支出明细项目分析，2021年度仅发生公务接待费</w:t>
      </w:r>
      <w:r>
        <w:rPr>
          <w:rFonts w:ascii="仿宋" w:hAnsi="仿宋" w:eastAsia="仿宋" w:cs="仿宋_GB2312"/>
          <w:color w:val="auto"/>
          <w:sz w:val="32"/>
          <w:szCs w:val="32"/>
        </w:rPr>
        <w:t>7269</w:t>
      </w:r>
      <w:r>
        <w:rPr>
          <w:rFonts w:hint="eastAsia" w:ascii="仿宋" w:hAnsi="仿宋" w:eastAsia="仿宋" w:cs="仿宋_GB2312"/>
          <w:color w:val="auto"/>
          <w:sz w:val="32"/>
          <w:szCs w:val="32"/>
        </w:rPr>
        <w:t>元，为接待湖南省发改委来人1行10人检查工作开支，未发生公务用车及因公出国费用。三公经费明细均按要求控制到位。</w:t>
      </w:r>
    </w:p>
    <w:p>
      <w:pPr>
        <w:shd w:val="clear" w:color="auto" w:fill="FFFFFF"/>
        <w:kinsoku/>
        <w:autoSpaceDE/>
        <w:autoSpaceDN/>
        <w:adjustRightInd/>
        <w:snapToGrid/>
        <w:spacing w:line="360" w:lineRule="auto"/>
        <w:ind w:firstLine="640"/>
        <w:jc w:val="both"/>
        <w:textAlignment w:val="auto"/>
        <w:rPr>
          <w:rFonts w:ascii="仿宋" w:hAnsi="仿宋" w:eastAsia="仿宋" w:cs="楷体_GB2312"/>
          <w:snapToGrid/>
          <w:spacing w:val="-2"/>
          <w:kern w:val="2"/>
          <w:sz w:val="32"/>
          <w:szCs w:val="32"/>
        </w:rPr>
      </w:pPr>
      <w:r>
        <w:rPr>
          <w:rFonts w:hint="eastAsia" w:ascii="仿宋" w:hAnsi="仿宋" w:eastAsia="仿宋" w:cs="楷体_GB2312"/>
          <w:snapToGrid/>
          <w:spacing w:val="-2"/>
          <w:kern w:val="2"/>
          <w:sz w:val="32"/>
          <w:szCs w:val="32"/>
        </w:rPr>
        <w:t>（二）专项支出</w:t>
      </w:r>
    </w:p>
    <w:p>
      <w:pPr>
        <w:spacing w:line="360" w:lineRule="auto"/>
        <w:ind w:left="638" w:leftChars="304"/>
        <w:rPr>
          <w:rFonts w:ascii="仿宋" w:hAnsi="仿宋" w:eastAsia="仿宋" w:cs="仿宋_GB2312"/>
          <w:sz w:val="32"/>
          <w:szCs w:val="32"/>
        </w:rPr>
      </w:pPr>
      <w:r>
        <w:rPr>
          <w:rFonts w:hint="eastAsia" w:ascii="仿宋" w:hAnsi="仿宋" w:eastAsia="仿宋" w:cs="仿宋_GB2312"/>
          <w:sz w:val="32"/>
          <w:szCs w:val="32"/>
        </w:rPr>
        <w:t>我单位2021年无专项资金预算，未申请专项资金拨款。</w:t>
      </w:r>
    </w:p>
    <w:p>
      <w:pPr>
        <w:shd w:val="clear" w:color="auto" w:fill="FFFFFF"/>
        <w:spacing w:line="360" w:lineRule="auto"/>
        <w:ind w:firstLine="632" w:firstLineChars="200"/>
        <w:rPr>
          <w:rFonts w:ascii="仿宋" w:hAnsi="仿宋" w:eastAsia="仿宋" w:cs="黑体"/>
          <w:bCs/>
          <w:spacing w:val="-2"/>
          <w:sz w:val="32"/>
        </w:rPr>
      </w:pPr>
      <w:r>
        <w:rPr>
          <w:rFonts w:hint="eastAsia" w:ascii="仿宋" w:hAnsi="仿宋" w:eastAsia="仿宋" w:cs="黑体"/>
          <w:bCs/>
          <w:spacing w:val="-2"/>
          <w:sz w:val="32"/>
          <w:szCs w:val="32"/>
        </w:rPr>
        <w:t>三、资产管理情况</w:t>
      </w:r>
    </w:p>
    <w:p>
      <w:pPr>
        <w:pStyle w:val="7"/>
        <w:shd w:val="clear" w:color="auto" w:fill="FFFFFF"/>
        <w:spacing w:before="0" w:beforeAutospacing="0" w:after="0" w:afterAutospacing="0" w:line="360" w:lineRule="auto"/>
        <w:ind w:firstLine="707" w:firstLineChars="221"/>
        <w:jc w:val="both"/>
        <w:rPr>
          <w:rFonts w:ascii="仿宋" w:hAnsi="仿宋" w:eastAsia="仿宋" w:cs="Times New Roman"/>
          <w:sz w:val="32"/>
          <w:szCs w:val="32"/>
        </w:rPr>
      </w:pPr>
      <w:r>
        <w:rPr>
          <w:rFonts w:hint="eastAsia" w:ascii="仿宋" w:hAnsi="仿宋" w:eastAsia="仿宋" w:cs="Times New Roman"/>
          <w:sz w:val="32"/>
          <w:szCs w:val="32"/>
        </w:rPr>
        <w:t>我单位根据《行政事业单位内部控制规范（试行）》、《事业单位国有资产管理暂行办法》及省、市有关规定，建立了《固定资产管理办法》、《货币资金管理、应收款和无形资产》、《政府采购预算》及《政府采购管理办法》等固定资产和办公用品使用、审批、稽核的内部管理规范。</w:t>
      </w:r>
    </w:p>
    <w:p>
      <w:pPr>
        <w:pStyle w:val="7"/>
        <w:shd w:val="clear" w:color="auto" w:fill="FFFFFF"/>
        <w:spacing w:before="0" w:beforeAutospacing="0" w:after="0" w:afterAutospacing="0" w:line="360" w:lineRule="auto"/>
        <w:ind w:firstLine="707" w:firstLineChars="221"/>
        <w:jc w:val="both"/>
        <w:rPr>
          <w:rFonts w:ascii="仿宋" w:hAnsi="仿宋" w:eastAsia="仿宋" w:cs="Times New Roman"/>
          <w:sz w:val="32"/>
          <w:szCs w:val="32"/>
        </w:rPr>
      </w:pPr>
      <w:r>
        <w:rPr>
          <w:rFonts w:hint="eastAsia" w:ascii="仿宋" w:hAnsi="仿宋" w:eastAsia="仿宋" w:cs="Times New Roman"/>
          <w:sz w:val="32"/>
          <w:szCs w:val="32"/>
        </w:rPr>
        <w:t>资产分为流动资产和固定资产，具体包括：银行存款、财政应返还额度、其他应收款、固定资产。固定资产、办公家具和用品严格按照内部控制规范、《资产管理办法》、《政府采购预算》、《政府采购管理办法》进行配置和处置。</w:t>
      </w:r>
    </w:p>
    <w:p>
      <w:pPr>
        <w:pStyle w:val="7"/>
        <w:shd w:val="clear" w:color="auto" w:fill="FFFFFF"/>
        <w:spacing w:before="0" w:beforeAutospacing="0" w:after="0" w:afterAutospacing="0" w:line="360" w:lineRule="auto"/>
        <w:ind w:firstLine="707" w:firstLineChars="221"/>
        <w:jc w:val="both"/>
        <w:rPr>
          <w:rFonts w:ascii="仿宋" w:hAnsi="仿宋" w:eastAsia="仿宋" w:cs="黑体"/>
          <w:b/>
          <w:bCs/>
          <w:spacing w:val="7"/>
          <w:sz w:val="32"/>
          <w:szCs w:val="32"/>
        </w:rPr>
      </w:pPr>
      <w:r>
        <w:rPr>
          <w:rFonts w:hint="eastAsia" w:ascii="仿宋" w:hAnsi="仿宋" w:eastAsia="仿宋" w:cs="Times New Roman"/>
          <w:sz w:val="32"/>
          <w:szCs w:val="32"/>
        </w:rPr>
        <w:t>截止2021年12月31日，我单位固定资产原值11,975,583.61元，累计折旧8,101,817.21元，账面净值3,873,766.40元。</w:t>
      </w:r>
    </w:p>
    <w:p>
      <w:pPr>
        <w:shd w:val="clear" w:color="auto" w:fill="FFFFFF"/>
        <w:spacing w:line="360" w:lineRule="auto"/>
        <w:ind w:firstLine="632" w:firstLineChars="200"/>
        <w:rPr>
          <w:rFonts w:ascii="仿宋" w:hAnsi="仿宋" w:eastAsia="仿宋" w:cs="黑体"/>
          <w:bCs/>
          <w:spacing w:val="-2"/>
          <w:sz w:val="32"/>
          <w:szCs w:val="32"/>
        </w:rPr>
      </w:pPr>
      <w:r>
        <w:rPr>
          <w:rFonts w:hint="eastAsia" w:ascii="仿宋" w:hAnsi="仿宋" w:eastAsia="仿宋" w:cs="黑体"/>
          <w:bCs/>
          <w:spacing w:val="-2"/>
          <w:sz w:val="32"/>
          <w:szCs w:val="32"/>
        </w:rPr>
        <w:t>四、部门整体支出绩效情况</w:t>
      </w:r>
    </w:p>
    <w:p>
      <w:pPr>
        <w:kinsoku/>
        <w:autoSpaceDE/>
        <w:autoSpaceDN/>
        <w:spacing w:line="360" w:lineRule="auto"/>
        <w:ind w:firstLine="640" w:firstLineChars="200"/>
        <w:jc w:val="both"/>
        <w:rPr>
          <w:rFonts w:ascii="仿宋" w:hAnsi="仿宋" w:eastAsia="仿宋" w:cs="楷体_GB2312"/>
          <w:kern w:val="2"/>
          <w:sz w:val="32"/>
          <w:szCs w:val="32"/>
        </w:rPr>
      </w:pPr>
      <w:r>
        <w:rPr>
          <w:rFonts w:hint="eastAsia" w:ascii="仿宋" w:hAnsi="仿宋" w:eastAsia="仿宋" w:cs="楷体_GB2312"/>
          <w:kern w:val="2"/>
          <w:sz w:val="32"/>
          <w:szCs w:val="32"/>
        </w:rPr>
        <w:t>（一）旗帜鲜明地讲政治，不断夯实党的创新理论武装</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不断夯实理论武装。党组带头领学促学，用新思想新理论武装头脑。全年开展党组理论学习中心组学习13次，干部职工大会集体学习15次。同时，采取各部室“每周一学”和线上学习相结合的方式，推动新时代党的创新理论落地生根、开花结果，进一步树牢“四个意识”，坚定“四个自信”，坚决做到“两个维护”。</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认真开展党史学习教育。按照党中央部署和省市委的要求，依托党组理论学习中心组、主题党日、“三会一课”等组织党员干部开展“学史明理、学史增信、学史崇德、学史力行”四个专题学习研讨。积极开展庆祝建党100周年和“我为群众办实事”实践活动，4次组织党员干部开展了“关爱下一代、春风暧万家”、义务献血等社会实践活动；深入开展结对帮扶走访慰问和“微心愿”活动，为8户生活困难群众解决实际困难。</w:t>
      </w:r>
    </w:p>
    <w:p>
      <w:pPr>
        <w:kinsoku/>
        <w:autoSpaceDE/>
        <w:autoSpaceDN/>
        <w:spacing w:line="360" w:lineRule="auto"/>
        <w:ind w:firstLine="640" w:firstLineChars="200"/>
        <w:jc w:val="both"/>
        <w:rPr>
          <w:rFonts w:ascii="仿宋" w:hAnsi="仿宋" w:eastAsia="仿宋" w:cs="楷体_GB2312"/>
          <w:kern w:val="2"/>
          <w:sz w:val="32"/>
          <w:szCs w:val="32"/>
        </w:rPr>
      </w:pPr>
      <w:r>
        <w:rPr>
          <w:rFonts w:hint="eastAsia" w:ascii="仿宋" w:hAnsi="仿宋" w:eastAsia="仿宋" w:cs="楷体_GB2312"/>
          <w:kern w:val="2"/>
          <w:sz w:val="32"/>
          <w:szCs w:val="32"/>
        </w:rPr>
        <w:t>（二）以党的政治建设为统领，推进全面从严治党向基层延伸</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压实党建主体责任。坚持全面从严治党，不折不扣落实《党委（党组）全面从严治党主体责任规定》，认真贯彻落实省委《关于加强和改进新时代全省机关党的建设的实施意见》，强化党组全面从严治党主体责任、党组书记“第一责任人”和班子成员、各部室责任人的“一岗双责”。</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2、牢牢把控意识形态工作。将意识形态工作纳入党建工作，2次召开意识形态专题会议，研究部署意识形态工作，全年未发生因处置应对不当而造成的舆情事件。</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持之以恒抓好廉政建设。全面贯彻落实从严治党要求，严格执行中央八项规定及其实施细则精神。制定完善了《怀化市公共资源交易中心廉政建设工作方案》《怀化市公共资源交易中心廉政建设主体责任工作实施细则》《怀化市公共资源交易中心廉政风险排查工作实施方案》《怀化市公共资源交易中心推进清廉交易中心建设及建设清廉机关实施方案》。全年专题研究党风廉政建设4次，组织全体干部职工观看教育片5次，开展个别谈心谈话21次，集体廉政谈话6次，积极开展了“廉政建设大家谈”和清廉进家庭等活动。</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加强机关党支部建设。持续实施党支部“五化”提质工程，开展“学习身边榜样”、党员过政治生日等活动，4次组织党员干部前往向警予纪念馆、滕代远故居和新厂战斗旧址群等地开展现场红色实践教育。设立了“党员示范岗”，积极回应、解答群众关切热点问题及相关咨询38件（条）。</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5、积极推进乡村振兴。召开专题会议研究乡村振兴工作3次，召开2次联席会议，党员干部赴村走访慰问6次。为帮扶村提供产业项目资金13万元，先后成立了花卉苗木、杨梅产业和竹木、竹笋合作社。</w:t>
      </w:r>
    </w:p>
    <w:p>
      <w:pPr>
        <w:kinsoku/>
        <w:autoSpaceDE/>
        <w:autoSpaceDN/>
        <w:spacing w:line="360" w:lineRule="auto"/>
        <w:ind w:firstLine="640" w:firstLineChars="200"/>
        <w:jc w:val="both"/>
        <w:rPr>
          <w:rFonts w:ascii="仿宋" w:hAnsi="仿宋" w:eastAsia="仿宋" w:cs="楷体_GB2312"/>
          <w:kern w:val="2"/>
          <w:sz w:val="32"/>
          <w:szCs w:val="32"/>
        </w:rPr>
      </w:pPr>
      <w:r>
        <w:rPr>
          <w:rFonts w:hint="eastAsia" w:ascii="仿宋" w:hAnsi="仿宋" w:eastAsia="仿宋" w:cs="楷体_GB2312"/>
          <w:kern w:val="2"/>
          <w:sz w:val="32"/>
          <w:szCs w:val="32"/>
        </w:rPr>
        <w:t>（三）以高质量公共资源交易助力营商环境优化</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截止2021年12月31日，市交易中心完成进场交易量1161宗，同比下降15.01%，交易额204.6575亿元，同比上升6.05%，节约金额6.541亿元，增收金额0.0538亿元，交易总量稳中有进。</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1、坚持抓好专项整治。制定《深化工程建设项目招标投标突出问题专项整治工作方案》，推进工程建设领域招投标专项整治，完善见证体系。全年协助纪委、公安等部门调取数据2万余条，专项整治成果显著。</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2、全面升级系统平台。“不见面”开标系统正式上线全流程电子化率达100%、远程异地评标率达100%。实现投标保证金缴纳方式多样化和保证金线上自动退付，工程建设项目交易非现金保证金率达80%，保证金本息“应退尽退”。</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3、严格现场管理服务。抓好交易活动的服务环节，出台《业务部门工作职责及工作流程》，强化对门禁通道、评标区等重点区域和对专家评审抽取、评标答疑和复核等重点环节的监督管理，并对交易项目开评标实行全流程跟踪服务。制定《交易服务流动红旗部室及服务明星评比办法》，开展了红旗部室和服务明星评比活动。</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4、构建完整制度体系。出台《业务部门工作职责及工作流程》等1+10+3制度文件，构建完整的公共资源交易制度体系。</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5、推进社会信用体系建设。大力推进信用怀化建设，制定《怀化市公共资源交易中心社会信用体系建设工作实施方案》，所有招标代理公司签订《信用承诺书》。积极开展诚信进社会、进机关、进家庭等宣传活动，在全省率先将诚信核查嵌入公共资源交易前端，为全市公共资源交易提供诚信保障。</w:t>
      </w:r>
    </w:p>
    <w:p>
      <w:pPr>
        <w:kinsoku/>
        <w:autoSpaceDE/>
        <w:autoSpaceDN/>
        <w:spacing w:line="360" w:lineRule="auto"/>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6、积极做好业务培训工作。制定《怀化市公共资源交易中心工作人员培训方案》，通过部门一周一训、中心一月一训，进一步提升了干部职工业务能力和服务水平。</w:t>
      </w:r>
    </w:p>
    <w:p>
      <w:pPr>
        <w:kinsoku/>
        <w:autoSpaceDE/>
        <w:autoSpaceDN/>
        <w:spacing w:line="360" w:lineRule="auto"/>
        <w:ind w:firstLine="640" w:firstLineChars="200"/>
        <w:jc w:val="both"/>
        <w:rPr>
          <w:rFonts w:ascii="仿宋" w:hAnsi="仿宋" w:eastAsia="仿宋" w:cs="仿宋_GB2312"/>
          <w:sz w:val="32"/>
          <w:szCs w:val="32"/>
          <w:shd w:val="clear" w:color="auto" w:fill="FFFFFF"/>
        </w:rPr>
      </w:pPr>
      <w:r>
        <w:rPr>
          <w:rFonts w:hint="eastAsia" w:ascii="仿宋" w:hAnsi="仿宋" w:eastAsia="仿宋" w:cs="仿宋_GB2312"/>
          <w:kern w:val="2"/>
          <w:sz w:val="32"/>
          <w:szCs w:val="32"/>
        </w:rPr>
        <w:t>7、其他各项工作稳步推进。认真落实扫黑除恶专项斗争及毒品检测工作，完成全员毒品检测，未发现染毒人员。按要求落实防汛、消防、维稳等系列安全生产工作。扎实开展党建带群建工作，狠抓妇女、计划生育、关心下一代、老干部等工作；严格按照市委市政府和疫情防控指挥部的要求，安排专门力量全年坚持把好入口关、排查关、消毒关，疫情防控工作稳扎稳打；持续深入开展文明创建工作；创成了市级节水型机关。</w:t>
      </w:r>
    </w:p>
    <w:p>
      <w:pPr>
        <w:spacing w:line="360" w:lineRule="auto"/>
        <w:ind w:firstLine="671" w:firstLineChars="200"/>
        <w:rPr>
          <w:rFonts w:ascii="仿宋" w:hAnsi="仿宋" w:eastAsia="仿宋" w:cs="黑体"/>
          <w:b/>
          <w:bCs/>
          <w:spacing w:val="7"/>
          <w:sz w:val="32"/>
          <w:szCs w:val="32"/>
        </w:rPr>
      </w:pPr>
      <w:r>
        <w:rPr>
          <w:rFonts w:hint="eastAsia" w:ascii="仿宋" w:hAnsi="仿宋" w:eastAsia="仿宋" w:cs="黑体"/>
          <w:b/>
          <w:bCs/>
          <w:spacing w:val="7"/>
          <w:sz w:val="32"/>
          <w:szCs w:val="32"/>
        </w:rPr>
        <w:t>五、综合评价情况及评价结论</w:t>
      </w:r>
    </w:p>
    <w:p>
      <w:pPr>
        <w:pStyle w:val="7"/>
        <w:spacing w:before="0" w:beforeAutospacing="0" w:after="0" w:afterAutospacing="0" w:line="360" w:lineRule="auto"/>
        <w:ind w:firstLine="640" w:firstLineChars="200"/>
        <w:jc w:val="both"/>
        <w:rPr>
          <w:rFonts w:ascii="仿宋" w:hAnsi="仿宋" w:eastAsia="仿宋" w:cs="仿宋_GB2312"/>
          <w:sz w:val="32"/>
          <w:szCs w:val="32"/>
        </w:rPr>
      </w:pPr>
      <w:r>
        <w:rPr>
          <w:rFonts w:hint="eastAsia" w:ascii="仿宋" w:hAnsi="仿宋" w:eastAsia="仿宋" w:cs="仿宋_GB2312"/>
          <w:kern w:val="2"/>
          <w:sz w:val="32"/>
          <w:szCs w:val="32"/>
        </w:rPr>
        <w:t>我单位积极组织实施了各项管理制度及工作方案，建立了资金管理办法，规范了实施程序，较好地完成了2021年度怀化市公共资源交易中心工作的目标。根据《部门整体支出绩效评价指标表》，2021年度部门整体绩效自评综合评分为</w:t>
      </w:r>
      <w:r>
        <w:rPr>
          <w:rFonts w:hint="eastAsia" w:ascii="仿宋" w:hAnsi="仿宋" w:eastAsia="仿宋" w:cs="仿宋_GB2312"/>
          <w:sz w:val="32"/>
          <w:szCs w:val="32"/>
        </w:rPr>
        <w:t>96.5分</w:t>
      </w:r>
      <w:r>
        <w:rPr>
          <w:rFonts w:hint="eastAsia" w:ascii="仿宋" w:hAnsi="仿宋" w:eastAsia="仿宋" w:cs="仿宋_GB2312"/>
          <w:kern w:val="2"/>
          <w:sz w:val="32"/>
          <w:szCs w:val="32"/>
        </w:rPr>
        <w:t>，</w:t>
      </w:r>
      <w:r>
        <w:rPr>
          <w:rFonts w:hint="eastAsia" w:ascii="仿宋" w:hAnsi="仿宋" w:eastAsia="仿宋" w:cs="仿宋_GB2312"/>
          <w:sz w:val="32"/>
          <w:szCs w:val="32"/>
        </w:rPr>
        <w:t>评价等级为“优”</w:t>
      </w:r>
      <w:r>
        <w:rPr>
          <w:rFonts w:hint="eastAsia" w:ascii="仿宋" w:hAnsi="仿宋" w:eastAsia="仿宋" w:cs="仿宋_GB2312"/>
          <w:kern w:val="2"/>
          <w:sz w:val="32"/>
          <w:szCs w:val="32"/>
        </w:rPr>
        <w:t>。</w:t>
      </w:r>
    </w:p>
    <w:p>
      <w:pPr>
        <w:shd w:val="clear" w:color="auto" w:fill="FFFFFF"/>
        <w:spacing w:line="360" w:lineRule="auto"/>
        <w:ind w:left="640"/>
        <w:rPr>
          <w:rFonts w:ascii="仿宋" w:hAnsi="仿宋" w:eastAsia="仿宋"/>
        </w:rPr>
      </w:pPr>
      <w:r>
        <w:rPr>
          <w:rFonts w:hint="eastAsia" w:ascii="仿宋" w:hAnsi="仿宋" w:eastAsia="仿宋" w:cs="黑体"/>
          <w:bCs/>
          <w:spacing w:val="-2"/>
          <w:sz w:val="32"/>
          <w:szCs w:val="32"/>
        </w:rPr>
        <w:t>六、存在的主要问题</w:t>
      </w:r>
    </w:p>
    <w:p>
      <w:pPr>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1、绩效管理意识待加强</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通过组织对财政局绩效评价政策文件的不断学习，我单位绩效管理意识已得到了很大提升和进步，但单位各部门的绩效管理意识还有待加强，各项目部门需要进一步将绩效目标和预算相结合，在年初报预算时，设置更加详细、合理、可衡量的绩效目标。</w:t>
      </w:r>
    </w:p>
    <w:p>
      <w:pPr>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2、队伍业务素质有待提高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首先是对电子化政府采购的内涵与外延还没有达成共识或者认识还有些偏差；其次是一些人对于电子化政府采购还存在顾虑，既有对于电子采购的安全性、稳定性的担忧，也有对于新事物接受与学习的担忧；最后是部门之间的协调与配合还不够完善。电子化政府采购涉及部门与部门之间，也涉及部门内部各机构间的协调、沟通与业务配合的问题，但目前许多地方在这方面还存在诸多难点。</w:t>
      </w:r>
    </w:p>
    <w:p>
      <w:pPr>
        <w:shd w:val="clear" w:color="auto" w:fill="FFFFFF"/>
        <w:spacing w:line="360" w:lineRule="auto"/>
        <w:ind w:left="640"/>
        <w:rPr>
          <w:rFonts w:ascii="仿宋" w:hAnsi="仿宋" w:eastAsia="仿宋" w:cs="黑体"/>
          <w:bCs/>
          <w:spacing w:val="-2"/>
          <w:sz w:val="32"/>
          <w:szCs w:val="32"/>
        </w:rPr>
      </w:pPr>
      <w:r>
        <w:rPr>
          <w:rFonts w:hint="eastAsia" w:ascii="仿宋" w:hAnsi="仿宋" w:eastAsia="仿宋" w:cs="黑体"/>
          <w:bCs/>
          <w:spacing w:val="-2"/>
          <w:sz w:val="32"/>
          <w:szCs w:val="32"/>
        </w:rPr>
        <w:t>七、改进措施和有关建议</w:t>
      </w:r>
    </w:p>
    <w:p>
      <w:pPr>
        <w:spacing w:line="360" w:lineRule="auto"/>
        <w:ind w:firstLine="640" w:firstLineChars="200"/>
        <w:rPr>
          <w:rFonts w:ascii="仿宋" w:hAnsi="仿宋" w:eastAsia="仿宋" w:cs="仿宋_GB2312"/>
          <w:sz w:val="32"/>
        </w:rPr>
      </w:pPr>
      <w:r>
        <w:rPr>
          <w:rFonts w:hint="eastAsia" w:ascii="仿宋" w:hAnsi="仿宋" w:eastAsia="仿宋" w:cs="仿宋_GB2312"/>
          <w:sz w:val="32"/>
          <w:szCs w:val="32"/>
        </w:rPr>
        <w:t>1、科学合理编制预算，严格执行预算。按照《预算法》及其实施条例的相关规定，参考上一年的预算执行情况和年度的收支预测科学编制预算，避免年中大幅调整预算。在预算执行中，严格按照预算科目支出，避免预算科目间的预算资金调剂，确需调剂的，按规定程序报经批准。遵循预算管理办法，对于年度无法预计的临时追加的相关工作所需费用严格按规定执行预算调整程序。</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2、加强队伍能力建设，提高整体业务素质水平。要积极开展理论学习和实践。面对新形势、新任务，要不断提升社会基层的治理能力和水平，就要促进干部不断实现自我的提升，不断学习和进取。</w:t>
      </w:r>
    </w:p>
    <w:p>
      <w:pPr>
        <w:rPr>
          <w:rFonts w:eastAsia="黑体"/>
          <w:sz w:val="32"/>
          <w:szCs w:val="32"/>
        </w:rPr>
      </w:pPr>
    </w:p>
    <w:p>
      <w:pPr>
        <w:rPr>
          <w:rFonts w:eastAsia="黑体"/>
          <w:sz w:val="32"/>
          <w:szCs w:val="32"/>
        </w:rPr>
      </w:pPr>
    </w:p>
    <w:p>
      <w:pPr>
        <w:pStyle w:val="2"/>
        <w:rPr>
          <w:rFonts w:eastAsia="黑体"/>
          <w:sz w:val="32"/>
          <w:szCs w:val="32"/>
        </w:rPr>
      </w:pPr>
    </w:p>
    <w:p>
      <w:pPr>
        <w:pStyle w:val="3"/>
        <w:rPr>
          <w:rFonts w:eastAsia="黑体"/>
          <w:sz w:val="32"/>
          <w:szCs w:val="32"/>
        </w:rPr>
      </w:pPr>
    </w:p>
    <w:p>
      <w:pPr>
        <w:rPr>
          <w:rFonts w:eastAsia="黑体"/>
          <w:sz w:val="32"/>
          <w:szCs w:val="32"/>
        </w:rPr>
      </w:pPr>
    </w:p>
    <w:p>
      <w:pPr>
        <w:pStyle w:val="2"/>
        <w:rPr>
          <w:rFonts w:eastAsia="黑体"/>
          <w:sz w:val="32"/>
          <w:szCs w:val="32"/>
        </w:rPr>
      </w:pPr>
    </w:p>
    <w:p>
      <w:pPr>
        <w:pStyle w:val="2"/>
        <w:rPr>
          <w:rFonts w:eastAsia="黑体"/>
          <w:sz w:val="32"/>
          <w:szCs w:val="32"/>
        </w:rPr>
      </w:pPr>
    </w:p>
    <w:p>
      <w:pPr>
        <w:pStyle w:val="3"/>
      </w:pPr>
    </w:p>
    <w:p>
      <w:pPr>
        <w:pStyle w:val="3"/>
        <w:rPr>
          <w:rFonts w:eastAsia="黑体"/>
          <w:sz w:val="32"/>
          <w:szCs w:val="32"/>
        </w:rPr>
      </w:pPr>
    </w:p>
    <w:p>
      <w:pPr>
        <w:rPr>
          <w:rFonts w:eastAsia="黑体"/>
          <w:sz w:val="32"/>
          <w:szCs w:val="32"/>
        </w:rPr>
      </w:pPr>
    </w:p>
    <w:p>
      <w:pPr>
        <w:pStyle w:val="2"/>
        <w:rPr>
          <w:rFonts w:eastAsia="黑体"/>
          <w:sz w:val="32"/>
          <w:szCs w:val="32"/>
        </w:rPr>
      </w:pPr>
    </w:p>
    <w:p>
      <w:pPr>
        <w:rPr>
          <w:rFonts w:hint="eastAsia" w:eastAsiaTheme="minorEastAsia"/>
        </w:rPr>
      </w:pPr>
    </w:p>
    <w:p>
      <w:pPr>
        <w:pStyle w:val="2"/>
        <w:rPr>
          <w:rFonts w:hint="eastAsia" w:eastAsiaTheme="minorEastAsia"/>
        </w:rPr>
      </w:pPr>
    </w:p>
    <w:p>
      <w:pPr>
        <w:rPr>
          <w:rFonts w:hint="eastAsia" w:eastAsia="黑体"/>
          <w:sz w:val="32"/>
          <w:szCs w:val="32"/>
        </w:rPr>
      </w:pPr>
    </w:p>
    <w:p>
      <w:pPr>
        <w:rPr>
          <w:rFonts w:hint="eastAsia" w:eastAsia="黑体"/>
          <w:sz w:val="32"/>
          <w:szCs w:val="32"/>
        </w:rPr>
      </w:pPr>
    </w:p>
    <w:p>
      <w:pPr>
        <w:rPr>
          <w:rFonts w:eastAsia="黑体"/>
          <w:sz w:val="32"/>
          <w:szCs w:val="32"/>
        </w:rPr>
      </w:pPr>
      <w:r>
        <w:rPr>
          <w:rFonts w:eastAsia="黑体"/>
          <w:sz w:val="32"/>
          <w:szCs w:val="32"/>
        </w:rPr>
        <w:t>附件</w:t>
      </w:r>
      <w:r>
        <w:rPr>
          <w:rFonts w:hint="eastAsia" w:eastAsia="黑体"/>
          <w:sz w:val="32"/>
          <w:szCs w:val="32"/>
        </w:rPr>
        <w:t>1：</w:t>
      </w:r>
    </w:p>
    <w:p>
      <w:pPr>
        <w:spacing w:line="578" w:lineRule="atLeast"/>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部门整体支出绩效自评指标表</w:t>
      </w:r>
    </w:p>
    <w:tbl>
      <w:tblPr>
        <w:tblStyle w:val="8"/>
        <w:tblpPr w:leftFromText="180" w:rightFromText="180" w:vertAnchor="text" w:horzAnchor="page" w:tblpX="690" w:tblpY="181"/>
        <w:tblOverlap w:val="never"/>
        <w:tblW w:w="10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470"/>
        <w:gridCol w:w="577"/>
        <w:gridCol w:w="662"/>
        <w:gridCol w:w="992"/>
        <w:gridCol w:w="600"/>
        <w:gridCol w:w="2664"/>
        <w:gridCol w:w="3483"/>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9" w:type="dxa"/>
            <w:vAlign w:val="center"/>
          </w:tcPr>
          <w:p>
            <w:pPr>
              <w:spacing w:line="260" w:lineRule="exact"/>
              <w:jc w:val="center"/>
              <w:rPr>
                <w:rFonts w:eastAsiaTheme="majorEastAsia"/>
                <w:b/>
                <w:bCs/>
                <w:sz w:val="20"/>
                <w:szCs w:val="20"/>
              </w:rPr>
            </w:pPr>
            <w:r>
              <w:rPr>
                <w:rFonts w:eastAsiaTheme="majorEastAsia"/>
                <w:b/>
                <w:bCs/>
                <w:sz w:val="20"/>
                <w:szCs w:val="20"/>
              </w:rPr>
              <w:t>一级指标</w:t>
            </w:r>
          </w:p>
        </w:tc>
        <w:tc>
          <w:tcPr>
            <w:tcW w:w="470" w:type="dxa"/>
            <w:vAlign w:val="center"/>
          </w:tcPr>
          <w:p>
            <w:pPr>
              <w:spacing w:line="260" w:lineRule="exact"/>
              <w:jc w:val="center"/>
              <w:rPr>
                <w:rFonts w:eastAsiaTheme="majorEastAsia"/>
                <w:b/>
                <w:bCs/>
                <w:sz w:val="20"/>
                <w:szCs w:val="20"/>
              </w:rPr>
            </w:pPr>
            <w:r>
              <w:rPr>
                <w:rFonts w:eastAsiaTheme="majorEastAsia"/>
                <w:b/>
                <w:bCs/>
                <w:sz w:val="20"/>
                <w:szCs w:val="20"/>
              </w:rPr>
              <w:t>分值</w:t>
            </w:r>
          </w:p>
        </w:tc>
        <w:tc>
          <w:tcPr>
            <w:tcW w:w="577" w:type="dxa"/>
            <w:vAlign w:val="center"/>
          </w:tcPr>
          <w:p>
            <w:pPr>
              <w:spacing w:line="260" w:lineRule="exact"/>
              <w:jc w:val="center"/>
              <w:rPr>
                <w:rFonts w:eastAsiaTheme="majorEastAsia"/>
                <w:b/>
                <w:bCs/>
                <w:sz w:val="20"/>
                <w:szCs w:val="20"/>
              </w:rPr>
            </w:pPr>
            <w:r>
              <w:rPr>
                <w:rFonts w:eastAsiaTheme="majorEastAsia"/>
                <w:b/>
                <w:bCs/>
                <w:sz w:val="20"/>
                <w:szCs w:val="20"/>
              </w:rPr>
              <w:t>二级指标</w:t>
            </w:r>
          </w:p>
        </w:tc>
        <w:tc>
          <w:tcPr>
            <w:tcW w:w="662" w:type="dxa"/>
            <w:vAlign w:val="center"/>
          </w:tcPr>
          <w:p>
            <w:pPr>
              <w:spacing w:line="260" w:lineRule="exact"/>
              <w:jc w:val="center"/>
              <w:rPr>
                <w:rFonts w:eastAsiaTheme="majorEastAsia"/>
                <w:b/>
                <w:bCs/>
                <w:sz w:val="20"/>
                <w:szCs w:val="20"/>
              </w:rPr>
            </w:pPr>
            <w:r>
              <w:rPr>
                <w:rFonts w:eastAsiaTheme="majorEastAsia"/>
                <w:b/>
                <w:bCs/>
                <w:sz w:val="20"/>
                <w:szCs w:val="20"/>
              </w:rPr>
              <w:t>分值</w:t>
            </w:r>
          </w:p>
        </w:tc>
        <w:tc>
          <w:tcPr>
            <w:tcW w:w="992" w:type="dxa"/>
            <w:vAlign w:val="center"/>
          </w:tcPr>
          <w:p>
            <w:pPr>
              <w:spacing w:line="260" w:lineRule="exact"/>
              <w:jc w:val="center"/>
              <w:rPr>
                <w:rFonts w:eastAsiaTheme="majorEastAsia"/>
                <w:b/>
                <w:bCs/>
                <w:sz w:val="20"/>
                <w:szCs w:val="20"/>
              </w:rPr>
            </w:pPr>
            <w:r>
              <w:rPr>
                <w:rFonts w:eastAsiaTheme="majorEastAsia"/>
                <w:b/>
                <w:bCs/>
                <w:sz w:val="20"/>
                <w:szCs w:val="20"/>
              </w:rPr>
              <w:t>三级</w:t>
            </w:r>
          </w:p>
          <w:p>
            <w:pPr>
              <w:spacing w:line="260" w:lineRule="exact"/>
              <w:jc w:val="center"/>
              <w:rPr>
                <w:rFonts w:eastAsiaTheme="majorEastAsia"/>
                <w:b/>
                <w:bCs/>
                <w:sz w:val="20"/>
                <w:szCs w:val="20"/>
              </w:rPr>
            </w:pPr>
            <w:r>
              <w:rPr>
                <w:rFonts w:eastAsiaTheme="majorEastAsia"/>
                <w:b/>
                <w:bCs/>
                <w:sz w:val="20"/>
                <w:szCs w:val="20"/>
              </w:rPr>
              <w:t>指标</w:t>
            </w:r>
          </w:p>
        </w:tc>
        <w:tc>
          <w:tcPr>
            <w:tcW w:w="600" w:type="dxa"/>
            <w:vAlign w:val="center"/>
          </w:tcPr>
          <w:p>
            <w:pPr>
              <w:spacing w:line="260" w:lineRule="exact"/>
              <w:ind w:left="3" w:leftChars="-31" w:hanging="68" w:hangingChars="34"/>
              <w:jc w:val="center"/>
              <w:rPr>
                <w:rFonts w:eastAsiaTheme="majorEastAsia"/>
                <w:b/>
                <w:bCs/>
                <w:sz w:val="20"/>
                <w:szCs w:val="20"/>
              </w:rPr>
            </w:pPr>
            <w:r>
              <w:rPr>
                <w:rFonts w:eastAsiaTheme="majorEastAsia"/>
                <w:b/>
                <w:bCs/>
                <w:sz w:val="20"/>
                <w:szCs w:val="20"/>
              </w:rPr>
              <w:t>分值</w:t>
            </w:r>
          </w:p>
        </w:tc>
        <w:tc>
          <w:tcPr>
            <w:tcW w:w="2664" w:type="dxa"/>
            <w:vAlign w:val="center"/>
          </w:tcPr>
          <w:p>
            <w:pPr>
              <w:spacing w:line="260" w:lineRule="exact"/>
              <w:jc w:val="center"/>
              <w:rPr>
                <w:rFonts w:eastAsiaTheme="majorEastAsia"/>
                <w:b/>
                <w:bCs/>
                <w:sz w:val="20"/>
                <w:szCs w:val="20"/>
              </w:rPr>
            </w:pPr>
            <w:r>
              <w:rPr>
                <w:rFonts w:eastAsiaTheme="majorEastAsia"/>
                <w:b/>
                <w:bCs/>
                <w:sz w:val="20"/>
                <w:szCs w:val="20"/>
              </w:rPr>
              <w:t>评价标准</w:t>
            </w:r>
          </w:p>
        </w:tc>
        <w:tc>
          <w:tcPr>
            <w:tcW w:w="3483" w:type="dxa"/>
            <w:vAlign w:val="center"/>
          </w:tcPr>
          <w:p>
            <w:pPr>
              <w:spacing w:line="260" w:lineRule="exact"/>
              <w:jc w:val="center"/>
              <w:rPr>
                <w:rFonts w:eastAsiaTheme="majorEastAsia"/>
                <w:b/>
                <w:bCs/>
                <w:sz w:val="20"/>
                <w:szCs w:val="20"/>
              </w:rPr>
            </w:pPr>
            <w:r>
              <w:rPr>
                <w:rFonts w:eastAsiaTheme="majorEastAsia"/>
                <w:b/>
                <w:bCs/>
                <w:sz w:val="20"/>
                <w:szCs w:val="20"/>
              </w:rPr>
              <w:t>指标说明</w:t>
            </w:r>
          </w:p>
        </w:tc>
        <w:tc>
          <w:tcPr>
            <w:tcW w:w="637" w:type="dxa"/>
            <w:vAlign w:val="center"/>
          </w:tcPr>
          <w:p>
            <w:pPr>
              <w:spacing w:line="260" w:lineRule="exact"/>
              <w:jc w:val="center"/>
              <w:rPr>
                <w:rFonts w:eastAsiaTheme="majorEastAsia"/>
                <w:b/>
                <w:bCs/>
                <w:sz w:val="20"/>
                <w:szCs w:val="20"/>
              </w:rPr>
            </w:pPr>
            <w:r>
              <w:rPr>
                <w:rFonts w:eastAsiaTheme="majorEastAsia"/>
                <w:b/>
                <w:bCs/>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59" w:type="dxa"/>
            <w:vMerge w:val="restart"/>
            <w:vAlign w:val="center"/>
          </w:tcPr>
          <w:p>
            <w:pPr>
              <w:spacing w:line="260" w:lineRule="exact"/>
              <w:rPr>
                <w:rFonts w:eastAsiaTheme="majorEastAsia"/>
                <w:sz w:val="20"/>
                <w:szCs w:val="20"/>
              </w:rPr>
            </w:pPr>
            <w:r>
              <w:rPr>
                <w:rFonts w:eastAsiaTheme="majorEastAsia"/>
                <w:sz w:val="20"/>
                <w:szCs w:val="20"/>
              </w:rPr>
              <w:t>投入</w:t>
            </w:r>
          </w:p>
        </w:tc>
        <w:tc>
          <w:tcPr>
            <w:tcW w:w="470" w:type="dxa"/>
            <w:vMerge w:val="restart"/>
            <w:vAlign w:val="center"/>
          </w:tcPr>
          <w:p>
            <w:pPr>
              <w:spacing w:line="260" w:lineRule="exact"/>
              <w:rPr>
                <w:rFonts w:eastAsiaTheme="majorEastAsia"/>
                <w:sz w:val="20"/>
                <w:szCs w:val="20"/>
              </w:rPr>
            </w:pPr>
            <w:r>
              <w:rPr>
                <w:rFonts w:eastAsiaTheme="majorEastAsia"/>
                <w:sz w:val="20"/>
                <w:szCs w:val="20"/>
              </w:rPr>
              <w:t>13</w:t>
            </w:r>
          </w:p>
        </w:tc>
        <w:tc>
          <w:tcPr>
            <w:tcW w:w="577" w:type="dxa"/>
            <w:vMerge w:val="restart"/>
            <w:vAlign w:val="center"/>
          </w:tcPr>
          <w:p>
            <w:pPr>
              <w:spacing w:line="260" w:lineRule="exact"/>
              <w:rPr>
                <w:rFonts w:eastAsiaTheme="majorEastAsia"/>
                <w:sz w:val="20"/>
                <w:szCs w:val="20"/>
              </w:rPr>
            </w:pPr>
            <w:r>
              <w:rPr>
                <w:rFonts w:eastAsiaTheme="majorEastAsia"/>
                <w:sz w:val="20"/>
                <w:szCs w:val="20"/>
              </w:rPr>
              <w:t>目标设定</w:t>
            </w:r>
          </w:p>
        </w:tc>
        <w:tc>
          <w:tcPr>
            <w:tcW w:w="662" w:type="dxa"/>
            <w:vMerge w:val="restart"/>
            <w:vAlign w:val="center"/>
          </w:tcPr>
          <w:p>
            <w:pPr>
              <w:spacing w:line="260" w:lineRule="exact"/>
              <w:jc w:val="center"/>
              <w:rPr>
                <w:rFonts w:eastAsiaTheme="majorEastAsia"/>
                <w:sz w:val="20"/>
                <w:szCs w:val="20"/>
              </w:rPr>
            </w:pPr>
            <w:r>
              <w:rPr>
                <w:rFonts w:eastAsiaTheme="majorEastAsia"/>
                <w:sz w:val="20"/>
                <w:szCs w:val="20"/>
              </w:rPr>
              <w:t>6</w:t>
            </w:r>
          </w:p>
        </w:tc>
        <w:tc>
          <w:tcPr>
            <w:tcW w:w="992" w:type="dxa"/>
            <w:vAlign w:val="center"/>
          </w:tcPr>
          <w:p>
            <w:pPr>
              <w:spacing w:line="260" w:lineRule="exact"/>
              <w:ind w:right="-38" w:rightChars="-18"/>
              <w:jc w:val="center"/>
              <w:rPr>
                <w:rFonts w:eastAsiaTheme="majorEastAsia"/>
                <w:sz w:val="20"/>
                <w:szCs w:val="20"/>
              </w:rPr>
            </w:pPr>
            <w:r>
              <w:rPr>
                <w:rFonts w:eastAsiaTheme="majorEastAsia"/>
                <w:sz w:val="20"/>
                <w:szCs w:val="20"/>
              </w:rPr>
              <w:t>绩效目标合理性</w:t>
            </w:r>
          </w:p>
        </w:tc>
        <w:tc>
          <w:tcPr>
            <w:tcW w:w="600" w:type="dxa"/>
            <w:vAlign w:val="center"/>
          </w:tcPr>
          <w:p>
            <w:pPr>
              <w:spacing w:line="260" w:lineRule="exact"/>
              <w:jc w:val="center"/>
              <w:rPr>
                <w:rFonts w:eastAsiaTheme="majorEastAsia"/>
                <w:sz w:val="20"/>
                <w:szCs w:val="20"/>
              </w:rPr>
            </w:pPr>
            <w:r>
              <w:rPr>
                <w:rFonts w:eastAsiaTheme="majorEastAsia"/>
                <w:sz w:val="20"/>
                <w:szCs w:val="20"/>
              </w:rPr>
              <w:t>3</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符合国家法律法规、国民经济和社会发展总体规划；</w:t>
            </w:r>
          </w:p>
          <w:p>
            <w:pPr>
              <w:spacing w:line="260" w:lineRule="exact"/>
              <w:rPr>
                <w:rFonts w:eastAsiaTheme="majorEastAsia"/>
                <w:sz w:val="20"/>
                <w:szCs w:val="20"/>
              </w:rPr>
            </w:pPr>
            <w:r>
              <w:rPr>
                <w:rFonts w:hint="eastAsia" w:ascii="宋体" w:hAnsi="宋体" w:cs="宋体"/>
                <w:sz w:val="20"/>
                <w:szCs w:val="20"/>
              </w:rPr>
              <w:t>②</w:t>
            </w:r>
            <w:r>
              <w:rPr>
                <w:rFonts w:eastAsiaTheme="majorEastAsia"/>
                <w:sz w:val="20"/>
                <w:szCs w:val="20"/>
              </w:rPr>
              <w:t>符合部门“三定”方案确定的职责；</w:t>
            </w:r>
          </w:p>
          <w:p>
            <w:pPr>
              <w:spacing w:line="260" w:lineRule="exact"/>
              <w:rPr>
                <w:rFonts w:eastAsiaTheme="majorEastAsia"/>
                <w:sz w:val="20"/>
                <w:szCs w:val="20"/>
              </w:rPr>
            </w:pPr>
            <w:r>
              <w:rPr>
                <w:rFonts w:hint="eastAsia" w:ascii="宋体" w:hAnsi="宋体" w:cs="宋体"/>
                <w:sz w:val="20"/>
                <w:szCs w:val="20"/>
              </w:rPr>
              <w:t>③</w:t>
            </w:r>
            <w:r>
              <w:rPr>
                <w:rFonts w:eastAsiaTheme="majorEastAsia"/>
                <w:sz w:val="20"/>
                <w:szCs w:val="20"/>
              </w:rPr>
              <w:t>符合部门制定的中长期实施规划。</w:t>
            </w:r>
          </w:p>
        </w:tc>
        <w:tc>
          <w:tcPr>
            <w:tcW w:w="3483" w:type="dxa"/>
            <w:vAlign w:val="center"/>
          </w:tcPr>
          <w:p>
            <w:pPr>
              <w:spacing w:line="260" w:lineRule="exact"/>
              <w:rPr>
                <w:rFonts w:eastAsiaTheme="majorEastAsia"/>
                <w:sz w:val="20"/>
                <w:szCs w:val="20"/>
              </w:rPr>
            </w:pPr>
            <w:r>
              <w:rPr>
                <w:rFonts w:eastAsiaTheme="majorEastAsia"/>
                <w:sz w:val="20"/>
                <w:szCs w:val="20"/>
              </w:rPr>
              <w:t>部门所设立的整体绩效目标依据充分，符合客观实际。</w:t>
            </w:r>
          </w:p>
        </w:tc>
        <w:tc>
          <w:tcPr>
            <w:tcW w:w="637" w:type="dxa"/>
            <w:vAlign w:val="center"/>
          </w:tcPr>
          <w:p>
            <w:pPr>
              <w:spacing w:line="260" w:lineRule="exact"/>
              <w:jc w:val="center"/>
              <w:rPr>
                <w:rFonts w:eastAsiaTheme="majorEastAsia"/>
                <w:sz w:val="20"/>
                <w:szCs w:val="20"/>
              </w:rPr>
            </w:pPr>
            <w:r>
              <w:rPr>
                <w:rFonts w:eastAsiaTheme="maj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38" w:rightChars="-18"/>
              <w:jc w:val="center"/>
              <w:rPr>
                <w:rFonts w:eastAsiaTheme="majorEastAsia"/>
                <w:sz w:val="20"/>
                <w:szCs w:val="20"/>
              </w:rPr>
            </w:pPr>
            <w:r>
              <w:rPr>
                <w:rFonts w:eastAsiaTheme="majorEastAsia"/>
                <w:sz w:val="20"/>
                <w:szCs w:val="20"/>
              </w:rPr>
              <w:t>绩效指标明确性</w:t>
            </w:r>
          </w:p>
        </w:tc>
        <w:tc>
          <w:tcPr>
            <w:tcW w:w="600" w:type="dxa"/>
            <w:vAlign w:val="center"/>
          </w:tcPr>
          <w:p>
            <w:pPr>
              <w:spacing w:line="260" w:lineRule="exact"/>
              <w:jc w:val="center"/>
              <w:rPr>
                <w:rFonts w:eastAsiaTheme="majorEastAsia"/>
                <w:sz w:val="20"/>
                <w:szCs w:val="20"/>
              </w:rPr>
            </w:pPr>
            <w:r>
              <w:rPr>
                <w:rFonts w:eastAsiaTheme="majorEastAsia"/>
                <w:sz w:val="20"/>
                <w:szCs w:val="20"/>
              </w:rPr>
              <w:t>3</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将部门整体的绩效目标细化分解为具体的工作任务；</w:t>
            </w:r>
            <w:r>
              <w:rPr>
                <w:rFonts w:hint="eastAsia" w:ascii="宋体" w:hAnsi="宋体" w:cs="宋体"/>
                <w:sz w:val="20"/>
                <w:szCs w:val="20"/>
              </w:rPr>
              <w:t>②</w:t>
            </w:r>
            <w:r>
              <w:rPr>
                <w:rFonts w:eastAsiaTheme="majorEastAsia"/>
                <w:sz w:val="20"/>
                <w:szCs w:val="20"/>
              </w:rPr>
              <w:t xml:space="preserve">通过清晰、可衡量的指标值予以体现。 </w:t>
            </w:r>
            <w:r>
              <w:rPr>
                <w:rFonts w:hint="eastAsia" w:ascii="宋体" w:hAnsi="宋体" w:cs="宋体"/>
                <w:sz w:val="20"/>
                <w:szCs w:val="20"/>
              </w:rPr>
              <w:t>③</w:t>
            </w:r>
            <w:r>
              <w:rPr>
                <w:rFonts w:eastAsiaTheme="majorEastAsia"/>
                <w:sz w:val="20"/>
                <w:szCs w:val="20"/>
              </w:rPr>
              <w:t>与部门年度的任务数或计划数相对应；</w:t>
            </w:r>
            <w:r>
              <w:rPr>
                <w:rFonts w:hint="eastAsia" w:ascii="宋体" w:hAnsi="宋体" w:cs="宋体"/>
                <w:sz w:val="20"/>
                <w:szCs w:val="20"/>
              </w:rPr>
              <w:t>④</w:t>
            </w:r>
            <w:r>
              <w:rPr>
                <w:rFonts w:eastAsiaTheme="majorEastAsia"/>
                <w:sz w:val="20"/>
                <w:szCs w:val="20"/>
              </w:rPr>
              <w:t>与本年度部门预算资金相匹配。以上情况每出现一例不符合要求的扣1分，扣完为止。</w:t>
            </w:r>
          </w:p>
        </w:tc>
        <w:tc>
          <w:tcPr>
            <w:tcW w:w="3483" w:type="dxa"/>
            <w:vAlign w:val="center"/>
          </w:tcPr>
          <w:p>
            <w:pPr>
              <w:tabs>
                <w:tab w:val="left" w:pos="2604"/>
              </w:tabs>
              <w:spacing w:line="260" w:lineRule="exact"/>
              <w:ind w:right="-4" w:rightChars="-2"/>
              <w:rPr>
                <w:rFonts w:eastAsiaTheme="majorEastAsia"/>
                <w:sz w:val="20"/>
                <w:szCs w:val="20"/>
              </w:rPr>
            </w:pPr>
            <w:r>
              <w:rPr>
                <w:rFonts w:eastAsiaTheme="majorEastAsia"/>
                <w:sz w:val="20"/>
                <w:szCs w:val="20"/>
              </w:rPr>
              <w:t>部门依据整体绩效目标所设定的绩效指标部分清晰。</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restart"/>
            <w:vAlign w:val="center"/>
          </w:tcPr>
          <w:p>
            <w:pPr>
              <w:spacing w:line="260" w:lineRule="exact"/>
              <w:rPr>
                <w:rFonts w:eastAsiaTheme="majorEastAsia"/>
                <w:sz w:val="20"/>
                <w:szCs w:val="20"/>
              </w:rPr>
            </w:pPr>
            <w:r>
              <w:rPr>
                <w:rFonts w:eastAsiaTheme="majorEastAsia"/>
                <w:sz w:val="20"/>
                <w:szCs w:val="20"/>
              </w:rPr>
              <w:t>预算配置</w:t>
            </w:r>
          </w:p>
        </w:tc>
        <w:tc>
          <w:tcPr>
            <w:tcW w:w="662" w:type="dxa"/>
            <w:vMerge w:val="restart"/>
            <w:vAlign w:val="center"/>
          </w:tcPr>
          <w:p>
            <w:pPr>
              <w:spacing w:line="260" w:lineRule="exact"/>
              <w:jc w:val="center"/>
              <w:rPr>
                <w:rFonts w:eastAsiaTheme="majorEastAsia"/>
                <w:sz w:val="20"/>
                <w:szCs w:val="20"/>
              </w:rPr>
            </w:pPr>
            <w:r>
              <w:rPr>
                <w:rFonts w:eastAsiaTheme="majorEastAsia"/>
                <w:sz w:val="20"/>
                <w:szCs w:val="20"/>
              </w:rPr>
              <w:t>7</w:t>
            </w: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在职人员控制率</w:t>
            </w:r>
          </w:p>
        </w:tc>
        <w:tc>
          <w:tcPr>
            <w:tcW w:w="600" w:type="dxa"/>
            <w:vAlign w:val="center"/>
          </w:tcPr>
          <w:p>
            <w:pPr>
              <w:spacing w:line="260" w:lineRule="exact"/>
              <w:jc w:val="center"/>
              <w:rPr>
                <w:rFonts w:eastAsiaTheme="majorEastAsia"/>
                <w:sz w:val="20"/>
                <w:szCs w:val="20"/>
              </w:rPr>
            </w:pPr>
            <w:r>
              <w:rPr>
                <w:rFonts w:eastAsiaTheme="majorEastAsia"/>
                <w:sz w:val="20"/>
                <w:szCs w:val="20"/>
              </w:rPr>
              <w:t>3</w:t>
            </w:r>
          </w:p>
        </w:tc>
        <w:tc>
          <w:tcPr>
            <w:tcW w:w="2664" w:type="dxa"/>
            <w:vAlign w:val="center"/>
          </w:tcPr>
          <w:p>
            <w:pPr>
              <w:spacing w:line="260" w:lineRule="exact"/>
              <w:rPr>
                <w:rFonts w:eastAsiaTheme="majorEastAsia"/>
                <w:sz w:val="20"/>
                <w:szCs w:val="20"/>
              </w:rPr>
            </w:pPr>
            <w:r>
              <w:rPr>
                <w:rFonts w:eastAsiaTheme="majorEastAsia"/>
                <w:sz w:val="20"/>
                <w:szCs w:val="20"/>
              </w:rPr>
              <w:t>以100%为标准。在职人员控制率</w:t>
            </w:r>
            <w:r>
              <w:rPr>
                <w:rFonts w:hint="eastAsia" w:ascii="宋体" w:hAnsi="宋体" w:cs="宋体"/>
                <w:sz w:val="20"/>
                <w:szCs w:val="20"/>
              </w:rPr>
              <w:t>≦</w:t>
            </w:r>
            <w:r>
              <w:rPr>
                <w:rFonts w:eastAsiaTheme="majorEastAsia"/>
                <w:sz w:val="20"/>
                <w:szCs w:val="20"/>
              </w:rPr>
              <w:t>100%，计3分；每超过一个百分点扣0.5分，扣完为止。</w:t>
            </w:r>
          </w:p>
        </w:tc>
        <w:tc>
          <w:tcPr>
            <w:tcW w:w="3483" w:type="dxa"/>
            <w:vAlign w:val="center"/>
          </w:tcPr>
          <w:p>
            <w:pPr>
              <w:spacing w:line="260" w:lineRule="exact"/>
              <w:rPr>
                <w:rFonts w:eastAsiaTheme="majorEastAsia"/>
                <w:sz w:val="20"/>
                <w:szCs w:val="20"/>
              </w:rPr>
            </w:pPr>
            <w:r>
              <w:rPr>
                <w:rFonts w:eastAsiaTheme="majorEastAsia"/>
                <w:sz w:val="20"/>
                <w:szCs w:val="20"/>
              </w:rPr>
              <w:t>在职人员控制率=（在职人员数/编制数）×100%。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“三公经费”变动率</w:t>
            </w:r>
          </w:p>
        </w:tc>
        <w:tc>
          <w:tcPr>
            <w:tcW w:w="600" w:type="dxa"/>
            <w:vAlign w:val="center"/>
          </w:tcPr>
          <w:p>
            <w:pPr>
              <w:spacing w:line="260" w:lineRule="exact"/>
              <w:jc w:val="center"/>
              <w:rPr>
                <w:rFonts w:eastAsiaTheme="majorEastAsia"/>
                <w:sz w:val="20"/>
                <w:szCs w:val="20"/>
              </w:rPr>
            </w:pPr>
            <w:r>
              <w:rPr>
                <w:rFonts w:eastAsiaTheme="majorEastAsia"/>
                <w:sz w:val="20"/>
                <w:szCs w:val="20"/>
              </w:rPr>
              <w:t>4</w:t>
            </w:r>
          </w:p>
        </w:tc>
        <w:tc>
          <w:tcPr>
            <w:tcW w:w="2664" w:type="dxa"/>
            <w:vAlign w:val="center"/>
          </w:tcPr>
          <w:p>
            <w:pPr>
              <w:spacing w:line="260" w:lineRule="exact"/>
              <w:rPr>
                <w:rFonts w:eastAsiaTheme="majorEastAsia"/>
                <w:sz w:val="20"/>
                <w:szCs w:val="20"/>
              </w:rPr>
            </w:pPr>
            <w:r>
              <w:rPr>
                <w:rFonts w:eastAsiaTheme="majorEastAsia"/>
                <w:sz w:val="20"/>
                <w:szCs w:val="20"/>
              </w:rPr>
              <w:t>“三公经费”变动率</w:t>
            </w:r>
            <w:r>
              <w:rPr>
                <w:rFonts w:hint="eastAsia" w:ascii="宋体" w:hAnsi="宋体" w:cs="宋体"/>
                <w:sz w:val="20"/>
                <w:szCs w:val="20"/>
              </w:rPr>
              <w:t>≦</w:t>
            </w:r>
            <w:r>
              <w:rPr>
                <w:rFonts w:eastAsiaTheme="majorEastAsia"/>
                <w:sz w:val="20"/>
                <w:szCs w:val="20"/>
              </w:rPr>
              <w:t>0,计4分；“三公经费”＞0，每超过一个百分点扣0.4分，扣完为止。</w:t>
            </w:r>
          </w:p>
        </w:tc>
        <w:tc>
          <w:tcPr>
            <w:tcW w:w="3483" w:type="dxa"/>
            <w:vAlign w:val="center"/>
          </w:tcPr>
          <w:p>
            <w:pPr>
              <w:spacing w:line="260" w:lineRule="exact"/>
              <w:rPr>
                <w:rFonts w:eastAsiaTheme="majorEastAsia"/>
                <w:sz w:val="20"/>
                <w:szCs w:val="20"/>
              </w:rPr>
            </w:pPr>
            <w:r>
              <w:rPr>
                <w:rFonts w:eastAsiaTheme="majorEastAsia"/>
                <w:sz w:val="20"/>
                <w:szCs w:val="20"/>
              </w:rPr>
              <w:t>“三公经费”变动率=[（本年度“三公经费”预算数-上年度“三公经费”预算数）/上年度“三公经费”预算数] ×100%。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Merge w:val="restart"/>
            <w:vAlign w:val="center"/>
          </w:tcPr>
          <w:p>
            <w:pPr>
              <w:spacing w:line="260" w:lineRule="exact"/>
              <w:rPr>
                <w:rFonts w:eastAsiaTheme="majorEastAsia"/>
                <w:sz w:val="20"/>
                <w:szCs w:val="20"/>
              </w:rPr>
            </w:pPr>
            <w:r>
              <w:rPr>
                <w:rFonts w:eastAsiaTheme="majorEastAsia"/>
                <w:sz w:val="20"/>
                <w:szCs w:val="20"/>
              </w:rPr>
              <w:t>过                                                                                                                                       程</w:t>
            </w:r>
          </w:p>
        </w:tc>
        <w:tc>
          <w:tcPr>
            <w:tcW w:w="470" w:type="dxa"/>
            <w:vMerge w:val="restart"/>
            <w:vAlign w:val="center"/>
          </w:tcPr>
          <w:p>
            <w:pPr>
              <w:spacing w:line="260" w:lineRule="exact"/>
              <w:rPr>
                <w:rFonts w:eastAsiaTheme="majorEastAsia"/>
                <w:sz w:val="20"/>
                <w:szCs w:val="20"/>
              </w:rPr>
            </w:pPr>
            <w:r>
              <w:rPr>
                <w:rFonts w:hint="eastAsia" w:eastAsiaTheme="majorEastAsia"/>
                <w:sz w:val="20"/>
                <w:szCs w:val="20"/>
              </w:rPr>
              <w:t>47</w:t>
            </w:r>
          </w:p>
        </w:tc>
        <w:tc>
          <w:tcPr>
            <w:tcW w:w="577" w:type="dxa"/>
            <w:vMerge w:val="restart"/>
            <w:vAlign w:val="center"/>
          </w:tcPr>
          <w:p>
            <w:pPr>
              <w:spacing w:line="260" w:lineRule="exact"/>
              <w:rPr>
                <w:rFonts w:eastAsiaTheme="majorEastAsia"/>
                <w:sz w:val="20"/>
                <w:szCs w:val="20"/>
              </w:rPr>
            </w:pPr>
            <w:r>
              <w:rPr>
                <w:rFonts w:eastAsiaTheme="majorEastAsia"/>
                <w:sz w:val="20"/>
                <w:szCs w:val="20"/>
              </w:rPr>
              <w:t>预算执行</w:t>
            </w:r>
          </w:p>
        </w:tc>
        <w:tc>
          <w:tcPr>
            <w:tcW w:w="662" w:type="dxa"/>
            <w:vMerge w:val="restart"/>
            <w:vAlign w:val="center"/>
          </w:tcPr>
          <w:p>
            <w:pPr>
              <w:spacing w:line="260" w:lineRule="exact"/>
              <w:jc w:val="center"/>
              <w:rPr>
                <w:rFonts w:eastAsiaTheme="majorEastAsia"/>
                <w:sz w:val="20"/>
                <w:szCs w:val="20"/>
              </w:rPr>
            </w:pPr>
            <w:r>
              <w:rPr>
                <w:rFonts w:eastAsiaTheme="majorEastAsia"/>
                <w:sz w:val="20"/>
                <w:szCs w:val="20"/>
              </w:rPr>
              <w:t>1</w:t>
            </w:r>
            <w:r>
              <w:rPr>
                <w:rFonts w:hint="eastAsia" w:eastAsiaTheme="majorEastAsia"/>
                <w:sz w:val="20"/>
                <w:szCs w:val="20"/>
              </w:rPr>
              <w:t>6</w:t>
            </w: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预算</w:t>
            </w:r>
            <w:r>
              <w:rPr>
                <w:rFonts w:hint="eastAsia" w:eastAsiaTheme="majorEastAsia"/>
                <w:sz w:val="20"/>
                <w:szCs w:val="20"/>
              </w:rPr>
              <w:t>执行</w:t>
            </w:r>
            <w:r>
              <w:rPr>
                <w:rFonts w:eastAsiaTheme="majorEastAsia"/>
                <w:sz w:val="20"/>
                <w:szCs w:val="20"/>
              </w:rPr>
              <w:t>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5</w:t>
            </w:r>
          </w:p>
        </w:tc>
        <w:tc>
          <w:tcPr>
            <w:tcW w:w="2664" w:type="dxa"/>
            <w:vAlign w:val="center"/>
          </w:tcPr>
          <w:p>
            <w:pPr>
              <w:spacing w:line="260" w:lineRule="exact"/>
              <w:rPr>
                <w:rFonts w:eastAsiaTheme="majorEastAsia"/>
                <w:sz w:val="20"/>
                <w:szCs w:val="20"/>
              </w:rPr>
            </w:pPr>
            <w:r>
              <w:rPr>
                <w:rFonts w:eastAsiaTheme="majorEastAsia"/>
                <w:sz w:val="20"/>
                <w:szCs w:val="20"/>
              </w:rPr>
              <w:t>100%计满分，每低于5%扣2分，扣完为止。</w:t>
            </w:r>
          </w:p>
        </w:tc>
        <w:tc>
          <w:tcPr>
            <w:tcW w:w="3483" w:type="dxa"/>
            <w:vAlign w:val="center"/>
          </w:tcPr>
          <w:p>
            <w:pPr>
              <w:spacing w:line="260" w:lineRule="exact"/>
              <w:rPr>
                <w:rFonts w:eastAsiaTheme="majorEastAsia"/>
                <w:sz w:val="20"/>
                <w:szCs w:val="20"/>
              </w:rPr>
            </w:pPr>
            <w:r>
              <w:rPr>
                <w:rFonts w:eastAsiaTheme="majorEastAsia"/>
                <w:sz w:val="20"/>
                <w:szCs w:val="20"/>
              </w:rPr>
              <w:t>预算</w:t>
            </w:r>
            <w:r>
              <w:rPr>
                <w:rFonts w:hint="eastAsia" w:eastAsiaTheme="majorEastAsia"/>
                <w:sz w:val="20"/>
                <w:szCs w:val="20"/>
              </w:rPr>
              <w:t>执行</w:t>
            </w:r>
            <w:r>
              <w:rPr>
                <w:rFonts w:eastAsiaTheme="majorEastAsia"/>
                <w:sz w:val="20"/>
                <w:szCs w:val="20"/>
              </w:rPr>
              <w:t>率=（上年结转+年初预算+本年追加预算-年末结余/上年结转+年初预算+本年追加预算）×100%。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46" w:rightChars="-22"/>
              <w:jc w:val="center"/>
              <w:rPr>
                <w:rFonts w:eastAsiaTheme="majorEastAsia"/>
                <w:sz w:val="20"/>
                <w:szCs w:val="20"/>
              </w:rPr>
            </w:pPr>
            <w:r>
              <w:rPr>
                <w:rFonts w:eastAsiaTheme="majorEastAsia"/>
                <w:sz w:val="20"/>
                <w:szCs w:val="20"/>
              </w:rPr>
              <w:t>预算调整率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5</w:t>
            </w:r>
          </w:p>
        </w:tc>
        <w:tc>
          <w:tcPr>
            <w:tcW w:w="2664" w:type="dxa"/>
            <w:vAlign w:val="center"/>
          </w:tcPr>
          <w:p>
            <w:pPr>
              <w:spacing w:line="260" w:lineRule="exact"/>
              <w:rPr>
                <w:rFonts w:eastAsiaTheme="majorEastAsia"/>
                <w:sz w:val="20"/>
                <w:szCs w:val="20"/>
              </w:rPr>
            </w:pPr>
            <w:r>
              <w:rPr>
                <w:rFonts w:eastAsiaTheme="majorEastAsia"/>
                <w:sz w:val="20"/>
                <w:szCs w:val="20"/>
              </w:rPr>
              <w:t>预算调整率=0-10%（含），计</w:t>
            </w:r>
            <w:r>
              <w:rPr>
                <w:rFonts w:hint="eastAsia" w:eastAsiaTheme="majorEastAsia"/>
                <w:sz w:val="20"/>
                <w:szCs w:val="20"/>
              </w:rPr>
              <w:t>5</w:t>
            </w:r>
            <w:r>
              <w:rPr>
                <w:rFonts w:eastAsiaTheme="majorEastAsia"/>
                <w:sz w:val="20"/>
                <w:szCs w:val="20"/>
              </w:rPr>
              <w:t>分；11-</w:t>
            </w:r>
            <w:r>
              <w:rPr>
                <w:rFonts w:hint="eastAsia" w:eastAsiaTheme="majorEastAsia"/>
                <w:sz w:val="20"/>
                <w:szCs w:val="20"/>
              </w:rPr>
              <w:t>4</w:t>
            </w:r>
            <w:r>
              <w:rPr>
                <w:rFonts w:eastAsiaTheme="majorEastAsia"/>
                <w:sz w:val="20"/>
                <w:szCs w:val="20"/>
              </w:rPr>
              <w:t>0%（含），计</w:t>
            </w:r>
            <w:r>
              <w:rPr>
                <w:rFonts w:hint="eastAsia" w:eastAsiaTheme="majorEastAsia"/>
                <w:sz w:val="20"/>
                <w:szCs w:val="20"/>
              </w:rPr>
              <w:t>4</w:t>
            </w:r>
            <w:r>
              <w:rPr>
                <w:rFonts w:eastAsiaTheme="majorEastAsia"/>
                <w:sz w:val="20"/>
                <w:szCs w:val="20"/>
              </w:rPr>
              <w:t>分；</w:t>
            </w:r>
            <w:r>
              <w:rPr>
                <w:rFonts w:hint="eastAsia" w:eastAsiaTheme="majorEastAsia"/>
                <w:sz w:val="20"/>
                <w:szCs w:val="20"/>
              </w:rPr>
              <w:t>4</w:t>
            </w:r>
            <w:r>
              <w:rPr>
                <w:rFonts w:eastAsiaTheme="majorEastAsia"/>
                <w:sz w:val="20"/>
                <w:szCs w:val="20"/>
              </w:rPr>
              <w:t>1-60%（含），计</w:t>
            </w:r>
            <w:r>
              <w:rPr>
                <w:rFonts w:hint="eastAsia" w:eastAsiaTheme="majorEastAsia"/>
                <w:sz w:val="20"/>
                <w:szCs w:val="20"/>
              </w:rPr>
              <w:t>3</w:t>
            </w:r>
            <w:r>
              <w:rPr>
                <w:rFonts w:eastAsiaTheme="majorEastAsia"/>
                <w:sz w:val="20"/>
                <w:szCs w:val="20"/>
              </w:rPr>
              <w:t>分；61-100%（含），计</w:t>
            </w:r>
            <w:r>
              <w:rPr>
                <w:rFonts w:hint="eastAsia" w:eastAsiaTheme="majorEastAsia"/>
                <w:sz w:val="20"/>
                <w:szCs w:val="20"/>
              </w:rPr>
              <w:t>2</w:t>
            </w:r>
            <w:r>
              <w:rPr>
                <w:rFonts w:eastAsiaTheme="majorEastAsia"/>
                <w:sz w:val="20"/>
                <w:szCs w:val="20"/>
              </w:rPr>
              <w:t>分；大于100%不得分</w:t>
            </w:r>
          </w:p>
        </w:tc>
        <w:tc>
          <w:tcPr>
            <w:tcW w:w="3483" w:type="dxa"/>
            <w:vAlign w:val="center"/>
          </w:tcPr>
          <w:p>
            <w:pPr>
              <w:spacing w:line="260" w:lineRule="exact"/>
              <w:rPr>
                <w:rFonts w:eastAsiaTheme="majorEastAsia"/>
                <w:sz w:val="20"/>
                <w:szCs w:val="20"/>
              </w:rPr>
            </w:pPr>
            <w:r>
              <w:rPr>
                <w:rFonts w:eastAsiaTheme="majorEastAsia"/>
                <w:sz w:val="20"/>
                <w:szCs w:val="20"/>
              </w:rPr>
              <w:t>预算调整率=（预算调整数/预算数）×100%。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tcPr>
          <w:p>
            <w:pPr>
              <w:spacing w:line="260" w:lineRule="exact"/>
              <w:rPr>
                <w:rFonts w:eastAsiaTheme="majorEastAsia"/>
                <w:sz w:val="20"/>
                <w:szCs w:val="20"/>
              </w:rPr>
            </w:pPr>
          </w:p>
          <w:p>
            <w:pPr>
              <w:spacing w:line="260" w:lineRule="exact"/>
              <w:rPr>
                <w:rFonts w:eastAsiaTheme="majorEastAsia"/>
                <w:sz w:val="20"/>
                <w:szCs w:val="20"/>
              </w:rPr>
            </w:pPr>
          </w:p>
          <w:p>
            <w:pPr>
              <w:spacing w:line="260" w:lineRule="exact"/>
              <w:rPr>
                <w:rFonts w:eastAsiaTheme="majorEastAsia"/>
                <w:sz w:val="20"/>
                <w:szCs w:val="20"/>
              </w:rPr>
            </w:pPr>
          </w:p>
          <w:p>
            <w:pPr>
              <w:spacing w:line="260" w:lineRule="exact"/>
              <w:rPr>
                <w:rFonts w:eastAsiaTheme="majorEastAsia"/>
                <w:sz w:val="20"/>
                <w:szCs w:val="20"/>
              </w:rPr>
            </w:pPr>
          </w:p>
          <w:p>
            <w:pPr>
              <w:spacing w:line="260" w:lineRule="exact"/>
              <w:jc w:val="center"/>
              <w:rPr>
                <w:rFonts w:eastAsiaTheme="majorEastAsia"/>
                <w:sz w:val="20"/>
                <w:szCs w:val="20"/>
              </w:rPr>
            </w:pPr>
            <w:r>
              <w:rPr>
                <w:rFonts w:eastAsiaTheme="majorEastAsia"/>
                <w:sz w:val="20"/>
                <w:szCs w:val="20"/>
              </w:rPr>
              <w:t>支付进度率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eastAsiaTheme="majorEastAsia"/>
                <w:sz w:val="20"/>
                <w:szCs w:val="20"/>
              </w:rPr>
              <w:t>100%计满分，每低于5%扣0.5分，扣完为止。</w:t>
            </w:r>
          </w:p>
        </w:tc>
        <w:tc>
          <w:tcPr>
            <w:tcW w:w="3483" w:type="dxa"/>
            <w:vAlign w:val="center"/>
          </w:tcPr>
          <w:p>
            <w:pPr>
              <w:spacing w:line="260" w:lineRule="exact"/>
              <w:rPr>
                <w:rFonts w:eastAsiaTheme="majorEastAsia"/>
                <w:sz w:val="20"/>
                <w:szCs w:val="20"/>
              </w:rPr>
            </w:pPr>
            <w:r>
              <w:rPr>
                <w:rFonts w:eastAsiaTheme="majorEastAsia"/>
                <w:sz w:val="20"/>
                <w:szCs w:val="20"/>
              </w:rPr>
              <w:t>支付进度率=（实际支付进度/既定支付进度） × 100%。</w:t>
            </w:r>
          </w:p>
          <w:p>
            <w:pPr>
              <w:spacing w:line="260" w:lineRule="exact"/>
              <w:rPr>
                <w:rFonts w:eastAsiaTheme="majorEastAsia"/>
                <w:sz w:val="20"/>
                <w:szCs w:val="20"/>
              </w:rPr>
            </w:pPr>
            <w:r>
              <w:rPr>
                <w:rFonts w:eastAsiaTheme="majorEastAsia"/>
                <w:sz w:val="20"/>
                <w:szCs w:val="20"/>
              </w:rPr>
              <w:t>实际支付进度： 部门在某一时点的支出预算 执行总数与年度支出预算数的比率。</w:t>
            </w:r>
          </w:p>
          <w:p>
            <w:pPr>
              <w:spacing w:line="260" w:lineRule="exact"/>
              <w:rPr>
                <w:rFonts w:eastAsiaTheme="majorEastAsia"/>
                <w:sz w:val="20"/>
                <w:szCs w:val="20"/>
              </w:rPr>
            </w:pPr>
            <w:r>
              <w:rPr>
                <w:rFonts w:eastAsiaTheme="majorEastAsia"/>
                <w:sz w:val="20"/>
                <w:szCs w:val="20"/>
              </w:rPr>
              <w:t>既定支付进度： 由部门在申报部门整体绩效 目标时，参照序时支付进度、前三年支付进 度、本级部门平均支付进度水平等确定的， 在某一时点应达到的支付进度（比率）。</w:t>
            </w:r>
          </w:p>
        </w:tc>
        <w:tc>
          <w:tcPr>
            <w:tcW w:w="637" w:type="dxa"/>
            <w:vAlign w:val="center"/>
          </w:tcPr>
          <w:p>
            <w:pPr>
              <w:spacing w:line="260" w:lineRule="exact"/>
              <w:jc w:val="center"/>
              <w:rPr>
                <w:rFonts w:eastAsiaTheme="majorEastAsia"/>
                <w:sz w:val="20"/>
                <w:szCs w:val="20"/>
              </w:rPr>
            </w:pPr>
            <w:r>
              <w:rPr>
                <w:rFonts w:hint="eastAsia" w:ascii="Times New Roman" w:hAnsi="Times New Roman" w:cs="Times New Roman"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jc w:val="center"/>
              <w:rPr>
                <w:rFonts w:eastAsiaTheme="majorEastAsia"/>
                <w:sz w:val="20"/>
                <w:szCs w:val="20"/>
              </w:rPr>
            </w:pPr>
          </w:p>
          <w:p>
            <w:pPr>
              <w:spacing w:line="260" w:lineRule="exact"/>
              <w:jc w:val="center"/>
              <w:rPr>
                <w:rFonts w:eastAsiaTheme="majorEastAsia"/>
                <w:sz w:val="20"/>
                <w:szCs w:val="20"/>
              </w:rPr>
            </w:pPr>
            <w:r>
              <w:rPr>
                <w:rFonts w:eastAsiaTheme="majorEastAsia"/>
                <w:sz w:val="20"/>
                <w:szCs w:val="20"/>
              </w:rPr>
              <w:t>结转结余率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eastAsiaTheme="majorEastAsia"/>
                <w:sz w:val="20"/>
                <w:szCs w:val="20"/>
              </w:rPr>
              <w:t>0%计满分，每上升5%扣0.5分，扣完为止。</w:t>
            </w:r>
          </w:p>
        </w:tc>
        <w:tc>
          <w:tcPr>
            <w:tcW w:w="3483" w:type="dxa"/>
            <w:vAlign w:val="center"/>
          </w:tcPr>
          <w:p>
            <w:pPr>
              <w:spacing w:line="260" w:lineRule="exact"/>
              <w:rPr>
                <w:rFonts w:eastAsiaTheme="majorEastAsia"/>
                <w:sz w:val="20"/>
                <w:szCs w:val="20"/>
              </w:rPr>
            </w:pPr>
            <w:r>
              <w:rPr>
                <w:rFonts w:hint="eastAsia" w:eastAsiaTheme="majorEastAsia"/>
                <w:sz w:val="20"/>
                <w:szCs w:val="20"/>
              </w:rPr>
              <w:t>结转结余率=（结转结余总额/支出预算数） × 100%。</w:t>
            </w:r>
          </w:p>
          <w:p>
            <w:pPr>
              <w:spacing w:line="260" w:lineRule="exact"/>
              <w:rPr>
                <w:rFonts w:eastAsiaTheme="majorEastAsia"/>
                <w:sz w:val="20"/>
                <w:szCs w:val="20"/>
              </w:rPr>
            </w:pPr>
            <w:r>
              <w:rPr>
                <w:rFonts w:hint="eastAsia" w:eastAsiaTheme="majorEastAsia"/>
                <w:sz w:val="20"/>
                <w:szCs w:val="20"/>
              </w:rPr>
              <w:t>结转结余总额： 部门本年度的结转资金与结 余资金之和（以决算数为准）。</w:t>
            </w:r>
          </w:p>
        </w:tc>
        <w:tc>
          <w:tcPr>
            <w:tcW w:w="637" w:type="dxa"/>
            <w:vAlign w:val="center"/>
          </w:tcPr>
          <w:p>
            <w:pPr>
              <w:spacing w:line="260" w:lineRule="exact"/>
              <w:jc w:val="center"/>
              <w:rPr>
                <w:rFonts w:eastAsiaTheme="majorEastAsia"/>
                <w:sz w:val="20"/>
                <w:szCs w:val="20"/>
              </w:rPr>
            </w:pPr>
            <w:r>
              <w:rPr>
                <w:rFonts w:hint="eastAsia" w:ascii="Times New Roman" w:hAnsi="Times New Roman" w:cs="Times New Roman"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jc w:val="center"/>
              <w:rPr>
                <w:rFonts w:eastAsiaTheme="majorEastAsia"/>
                <w:sz w:val="20"/>
                <w:szCs w:val="20"/>
              </w:rPr>
            </w:pPr>
          </w:p>
          <w:p>
            <w:pPr>
              <w:spacing w:line="260" w:lineRule="exact"/>
              <w:jc w:val="center"/>
              <w:rPr>
                <w:rFonts w:eastAsiaTheme="majorEastAsia"/>
                <w:sz w:val="20"/>
                <w:szCs w:val="20"/>
              </w:rPr>
            </w:pPr>
            <w:r>
              <w:rPr>
                <w:rFonts w:eastAsiaTheme="majorEastAsia"/>
                <w:sz w:val="20"/>
                <w:szCs w:val="20"/>
              </w:rPr>
              <w:t>结转结余变动率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eastAsiaTheme="majorEastAsia"/>
                <w:sz w:val="20"/>
                <w:szCs w:val="20"/>
              </w:rPr>
              <w:t>0%计满分，每上升5%扣0.5分，扣完为止。</w:t>
            </w:r>
          </w:p>
        </w:tc>
        <w:tc>
          <w:tcPr>
            <w:tcW w:w="3483" w:type="dxa"/>
            <w:vAlign w:val="center"/>
          </w:tcPr>
          <w:p>
            <w:pPr>
              <w:spacing w:line="260" w:lineRule="exact"/>
              <w:rPr>
                <w:rFonts w:eastAsiaTheme="majorEastAsia"/>
                <w:sz w:val="20"/>
                <w:szCs w:val="20"/>
              </w:rPr>
            </w:pPr>
            <w:r>
              <w:rPr>
                <w:rFonts w:hint="eastAsia" w:eastAsiaTheme="majorEastAsia"/>
                <w:sz w:val="20"/>
                <w:szCs w:val="20"/>
              </w:rPr>
              <w:t>结转结余变动率=[（本年度累计结转结余资金总额- 上年度累计结转结余资金总额）/上 年度累计结转结余资金总额]× 100%。</w:t>
            </w:r>
          </w:p>
        </w:tc>
        <w:tc>
          <w:tcPr>
            <w:tcW w:w="637" w:type="dxa"/>
            <w:vAlign w:val="center"/>
          </w:tcPr>
          <w:p>
            <w:pPr>
              <w:spacing w:line="260" w:lineRule="exact"/>
              <w:jc w:val="center"/>
              <w:rPr>
                <w:rFonts w:ascii="Times New Roman" w:hAnsi="Times New Roman" w:cs="Times New Roman" w:eastAsiaTheme="majorEastAsia"/>
                <w:sz w:val="20"/>
                <w:szCs w:val="20"/>
              </w:rPr>
            </w:pPr>
            <w:r>
              <w:rPr>
                <w:rFonts w:hint="eastAsia" w:ascii="Times New Roman" w:hAnsi="Times New Roman" w:cs="Times New Roman"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59" w:type="dxa"/>
            <w:vMerge w:val="restart"/>
            <w:vAlign w:val="center"/>
          </w:tcPr>
          <w:p>
            <w:pPr>
              <w:spacing w:line="260" w:lineRule="exact"/>
              <w:rPr>
                <w:rFonts w:eastAsiaTheme="majorEastAsia"/>
                <w:sz w:val="20"/>
                <w:szCs w:val="20"/>
              </w:rPr>
            </w:pPr>
            <w:r>
              <w:rPr>
                <w:rFonts w:eastAsiaTheme="majorEastAsia"/>
                <w:sz w:val="20"/>
                <w:szCs w:val="20"/>
              </w:rPr>
              <w:t>过                                                                                                                                       程</w:t>
            </w:r>
          </w:p>
        </w:tc>
        <w:tc>
          <w:tcPr>
            <w:tcW w:w="470" w:type="dxa"/>
            <w:vMerge w:val="restart"/>
            <w:vAlign w:val="center"/>
          </w:tcPr>
          <w:p>
            <w:pPr>
              <w:spacing w:line="260" w:lineRule="exact"/>
              <w:rPr>
                <w:rFonts w:eastAsiaTheme="majorEastAsia"/>
                <w:sz w:val="20"/>
                <w:szCs w:val="20"/>
              </w:rPr>
            </w:pPr>
            <w:r>
              <w:rPr>
                <w:rFonts w:hint="eastAsia" w:eastAsiaTheme="majorEastAsia"/>
                <w:sz w:val="20"/>
                <w:szCs w:val="20"/>
              </w:rPr>
              <w:t>47</w:t>
            </w:r>
          </w:p>
        </w:tc>
        <w:tc>
          <w:tcPr>
            <w:tcW w:w="577" w:type="dxa"/>
            <w:vMerge w:val="restart"/>
            <w:vAlign w:val="center"/>
          </w:tcPr>
          <w:p>
            <w:pPr>
              <w:spacing w:line="260" w:lineRule="exact"/>
              <w:rPr>
                <w:rFonts w:eastAsiaTheme="majorEastAsia"/>
                <w:sz w:val="20"/>
                <w:szCs w:val="20"/>
              </w:rPr>
            </w:pPr>
            <w:r>
              <w:rPr>
                <w:rFonts w:eastAsiaTheme="majorEastAsia"/>
                <w:sz w:val="20"/>
                <w:szCs w:val="20"/>
              </w:rPr>
              <w:t>预算管理</w:t>
            </w: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25</w:t>
            </w:r>
          </w:p>
        </w:tc>
        <w:tc>
          <w:tcPr>
            <w:tcW w:w="992" w:type="dxa"/>
            <w:vAlign w:val="center"/>
          </w:tcPr>
          <w:p>
            <w:pPr>
              <w:spacing w:line="260" w:lineRule="exact"/>
              <w:ind w:right="-55" w:rightChars="-26"/>
              <w:jc w:val="center"/>
              <w:rPr>
                <w:rFonts w:eastAsiaTheme="majorEastAsia"/>
                <w:sz w:val="20"/>
                <w:szCs w:val="20"/>
              </w:rPr>
            </w:pPr>
            <w:r>
              <w:rPr>
                <w:rFonts w:eastAsiaTheme="majorEastAsia"/>
                <w:sz w:val="20"/>
                <w:szCs w:val="20"/>
              </w:rPr>
              <w:t>公用经费控制率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100%以下（含）计满分，每超出1%扣1分，扣完为止。</w:t>
            </w:r>
          </w:p>
        </w:tc>
        <w:tc>
          <w:tcPr>
            <w:tcW w:w="3483" w:type="dxa"/>
            <w:vAlign w:val="center"/>
          </w:tcPr>
          <w:p>
            <w:pPr>
              <w:spacing w:line="260" w:lineRule="exact"/>
              <w:rPr>
                <w:rFonts w:eastAsiaTheme="majorEastAsia"/>
                <w:sz w:val="20"/>
                <w:szCs w:val="20"/>
              </w:rPr>
            </w:pPr>
            <w:r>
              <w:rPr>
                <w:rFonts w:eastAsiaTheme="majorEastAsia"/>
                <w:sz w:val="20"/>
                <w:szCs w:val="20"/>
              </w:rPr>
              <w:t>公用经费控制率=（实际支出公用经费总额/预算安排公用经费总额）×100%。公用经费支出是指部门基本支出中的一般商品和服务支出。</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“三公经费”控制率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100%以下（含）计满分，每超出1%扣1分，扣完为止。</w:t>
            </w:r>
          </w:p>
        </w:tc>
        <w:tc>
          <w:tcPr>
            <w:tcW w:w="3483" w:type="dxa"/>
            <w:vAlign w:val="center"/>
          </w:tcPr>
          <w:p>
            <w:pPr>
              <w:spacing w:line="260" w:lineRule="exact"/>
              <w:rPr>
                <w:rFonts w:eastAsiaTheme="majorEastAsia"/>
                <w:sz w:val="20"/>
                <w:szCs w:val="20"/>
              </w:rPr>
            </w:pPr>
            <w:r>
              <w:rPr>
                <w:rFonts w:eastAsiaTheme="majorEastAsia"/>
                <w:sz w:val="20"/>
                <w:szCs w:val="20"/>
              </w:rPr>
              <w:t>“三公经费”控制率=（“三公经费”实际支出数/“三公经费”预算安排数）×100%。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政府采购执行率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100%计满分，每超过（降低）5%扣2分。扣完为止。</w:t>
            </w:r>
          </w:p>
        </w:tc>
        <w:tc>
          <w:tcPr>
            <w:tcW w:w="3483" w:type="dxa"/>
            <w:vAlign w:val="center"/>
          </w:tcPr>
          <w:p>
            <w:pPr>
              <w:spacing w:line="260" w:lineRule="exact"/>
              <w:rPr>
                <w:rFonts w:eastAsiaTheme="majorEastAsia"/>
                <w:sz w:val="20"/>
                <w:szCs w:val="20"/>
              </w:rPr>
            </w:pPr>
            <w:r>
              <w:rPr>
                <w:rFonts w:eastAsiaTheme="majorEastAsia"/>
                <w:sz w:val="20"/>
                <w:szCs w:val="20"/>
              </w:rPr>
              <w:t xml:space="preserve">政府采购执行率=（实际政府采购金额/政府采购预算数）×100%                </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管理制度健全性</w:t>
            </w:r>
          </w:p>
        </w:tc>
        <w:tc>
          <w:tcPr>
            <w:tcW w:w="600" w:type="dxa"/>
            <w:vAlign w:val="center"/>
          </w:tcPr>
          <w:p>
            <w:pPr>
              <w:spacing w:line="260" w:lineRule="exact"/>
              <w:jc w:val="center"/>
              <w:rPr>
                <w:rFonts w:eastAsiaTheme="majorEastAsia"/>
                <w:sz w:val="20"/>
                <w:szCs w:val="20"/>
              </w:rPr>
            </w:pPr>
            <w:r>
              <w:rPr>
                <w:rFonts w:eastAsiaTheme="majorEastAsia"/>
                <w:sz w:val="20"/>
                <w:szCs w:val="20"/>
              </w:rPr>
              <w:t>8</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有内部财务管理制度、会计核算制度等管理制度，2分；</w:t>
            </w:r>
          </w:p>
          <w:p>
            <w:pPr>
              <w:spacing w:line="260" w:lineRule="exact"/>
              <w:rPr>
                <w:rFonts w:eastAsiaTheme="majorEastAsia"/>
                <w:sz w:val="20"/>
                <w:szCs w:val="20"/>
              </w:rPr>
            </w:pPr>
            <w:r>
              <w:rPr>
                <w:rFonts w:hint="eastAsia" w:ascii="宋体" w:hAnsi="宋体" w:cs="宋体"/>
                <w:sz w:val="20"/>
                <w:szCs w:val="20"/>
              </w:rPr>
              <w:t>②</w:t>
            </w:r>
            <w:r>
              <w:rPr>
                <w:rFonts w:eastAsiaTheme="majorEastAsia"/>
                <w:sz w:val="20"/>
                <w:szCs w:val="20"/>
              </w:rPr>
              <w:t>有本部门厉行节约制度,2分；</w:t>
            </w:r>
          </w:p>
          <w:p>
            <w:pPr>
              <w:spacing w:line="260" w:lineRule="exact"/>
              <w:rPr>
                <w:rFonts w:eastAsiaTheme="majorEastAsia"/>
                <w:sz w:val="20"/>
                <w:szCs w:val="20"/>
              </w:rPr>
            </w:pPr>
            <w:r>
              <w:rPr>
                <w:rFonts w:hint="eastAsia" w:ascii="宋体" w:hAnsi="宋体" w:cs="宋体"/>
                <w:sz w:val="20"/>
                <w:szCs w:val="20"/>
              </w:rPr>
              <w:t>③</w:t>
            </w:r>
            <w:r>
              <w:rPr>
                <w:rFonts w:eastAsiaTheme="majorEastAsia"/>
                <w:sz w:val="20"/>
                <w:szCs w:val="20"/>
              </w:rPr>
              <w:t>相关管理制度合法、合规、完整，2分；</w:t>
            </w:r>
            <w:r>
              <w:rPr>
                <w:rFonts w:hint="eastAsia" w:ascii="宋体" w:hAnsi="宋体" w:cs="宋体"/>
                <w:sz w:val="20"/>
                <w:szCs w:val="20"/>
              </w:rPr>
              <w:t>④</w:t>
            </w:r>
            <w:r>
              <w:rPr>
                <w:rFonts w:eastAsiaTheme="majorEastAsia"/>
                <w:sz w:val="20"/>
                <w:szCs w:val="20"/>
              </w:rPr>
              <w:t>相关管理制度得到有效执行，2分。</w:t>
            </w:r>
          </w:p>
        </w:tc>
        <w:tc>
          <w:tcPr>
            <w:tcW w:w="3483" w:type="dxa"/>
            <w:vAlign w:val="center"/>
          </w:tcPr>
          <w:p>
            <w:pPr>
              <w:spacing w:line="260" w:lineRule="exact"/>
              <w:rPr>
                <w:rFonts w:eastAsiaTheme="majorEastAsia"/>
                <w:sz w:val="20"/>
                <w:szCs w:val="20"/>
              </w:rPr>
            </w:pPr>
            <w:r>
              <w:rPr>
                <w:rFonts w:eastAsiaTheme="majorEastAsia"/>
                <w:sz w:val="20"/>
                <w:szCs w:val="20"/>
              </w:rPr>
              <w:t>部门为加强预算管理、规范财务行为而制定的管理制度健全完整。</w:t>
            </w:r>
          </w:p>
          <w:p>
            <w:pPr>
              <w:spacing w:line="260" w:lineRule="exact"/>
              <w:rPr>
                <w:rFonts w:eastAsiaTheme="majorEastAsia"/>
                <w:sz w:val="20"/>
                <w:szCs w:val="20"/>
              </w:rPr>
            </w:pPr>
          </w:p>
        </w:tc>
        <w:tc>
          <w:tcPr>
            <w:tcW w:w="637" w:type="dxa"/>
            <w:vAlign w:val="center"/>
          </w:tcPr>
          <w:p>
            <w:pPr>
              <w:spacing w:line="260" w:lineRule="exact"/>
              <w:jc w:val="center"/>
              <w:rPr>
                <w:rFonts w:eastAsiaTheme="majorEastAsia"/>
                <w:sz w:val="20"/>
                <w:szCs w:val="20"/>
              </w:rPr>
            </w:pPr>
            <w:r>
              <w:rPr>
                <w:rFonts w:eastAsiaTheme="maj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资金使用合规性</w:t>
            </w:r>
          </w:p>
        </w:tc>
        <w:tc>
          <w:tcPr>
            <w:tcW w:w="600" w:type="dxa"/>
            <w:vAlign w:val="center"/>
          </w:tcPr>
          <w:p>
            <w:pPr>
              <w:spacing w:line="260" w:lineRule="exact"/>
              <w:jc w:val="center"/>
              <w:rPr>
                <w:rFonts w:eastAsiaTheme="majorEastAsia"/>
                <w:sz w:val="20"/>
                <w:szCs w:val="20"/>
              </w:rPr>
            </w:pPr>
            <w:r>
              <w:rPr>
                <w:rFonts w:eastAsiaTheme="majorEastAsia"/>
                <w:sz w:val="20"/>
                <w:szCs w:val="20"/>
              </w:rPr>
              <w:t>6</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支出符合国家财经法规和财务管理制度规定以及有关专项资金管理办法的规定；</w:t>
            </w:r>
            <w:r>
              <w:rPr>
                <w:rFonts w:hint="eastAsia" w:ascii="宋体" w:hAnsi="宋体" w:cs="宋体"/>
                <w:sz w:val="20"/>
                <w:szCs w:val="20"/>
              </w:rPr>
              <w:t>②</w:t>
            </w:r>
            <w:r>
              <w:rPr>
                <w:rFonts w:eastAsiaTheme="majorEastAsia"/>
                <w:sz w:val="20"/>
                <w:szCs w:val="20"/>
              </w:rPr>
              <w:t>资金拨付有完整的审批程序和手续；</w:t>
            </w:r>
            <w:r>
              <w:rPr>
                <w:rFonts w:hint="eastAsia" w:ascii="宋体" w:hAnsi="宋体" w:cs="宋体"/>
                <w:sz w:val="20"/>
                <w:szCs w:val="20"/>
              </w:rPr>
              <w:t>③</w:t>
            </w:r>
            <w:r>
              <w:rPr>
                <w:rFonts w:eastAsiaTheme="majorEastAsia"/>
                <w:sz w:val="20"/>
                <w:szCs w:val="20"/>
              </w:rPr>
              <w:t>项目支出按规定经过评估论证；</w:t>
            </w:r>
            <w:r>
              <w:rPr>
                <w:rFonts w:hint="eastAsia" w:ascii="宋体" w:hAnsi="宋体" w:cs="宋体"/>
                <w:sz w:val="20"/>
                <w:szCs w:val="20"/>
              </w:rPr>
              <w:t>④</w:t>
            </w:r>
            <w:r>
              <w:rPr>
                <w:rFonts w:eastAsiaTheme="majorEastAsia"/>
                <w:sz w:val="20"/>
                <w:szCs w:val="20"/>
              </w:rPr>
              <w:t>支出符合部门预算批复的用途；</w:t>
            </w:r>
            <w:r>
              <w:rPr>
                <w:rFonts w:hint="eastAsia" w:ascii="宋体" w:hAnsi="宋体" w:cs="宋体"/>
                <w:sz w:val="20"/>
                <w:szCs w:val="20"/>
              </w:rPr>
              <w:t>⑤</w:t>
            </w:r>
            <w:r>
              <w:rPr>
                <w:rFonts w:eastAsiaTheme="majorEastAsia"/>
                <w:sz w:val="20"/>
                <w:szCs w:val="20"/>
              </w:rPr>
              <w:t>资金使用无截留、挤占、挪用、虚列支出等情况。</w:t>
            </w:r>
          </w:p>
          <w:p>
            <w:pPr>
              <w:spacing w:line="260" w:lineRule="exact"/>
              <w:rPr>
                <w:rFonts w:eastAsiaTheme="majorEastAsia"/>
                <w:sz w:val="20"/>
                <w:szCs w:val="20"/>
              </w:rPr>
            </w:pPr>
            <w:r>
              <w:rPr>
                <w:rFonts w:eastAsiaTheme="majorEastAsia"/>
                <w:sz w:val="20"/>
                <w:szCs w:val="20"/>
              </w:rPr>
              <w:t>以上情况每出现一例不符合要求的扣1分，扣完为止。</w:t>
            </w:r>
          </w:p>
        </w:tc>
        <w:tc>
          <w:tcPr>
            <w:tcW w:w="3483" w:type="dxa"/>
            <w:vAlign w:val="center"/>
          </w:tcPr>
          <w:p>
            <w:pPr>
              <w:spacing w:line="260" w:lineRule="exact"/>
              <w:rPr>
                <w:rFonts w:eastAsiaTheme="majorEastAsia"/>
                <w:sz w:val="20"/>
                <w:szCs w:val="20"/>
              </w:rPr>
            </w:pPr>
            <w:r>
              <w:rPr>
                <w:rFonts w:eastAsiaTheme="majorEastAsia"/>
                <w:sz w:val="20"/>
                <w:szCs w:val="20"/>
              </w:rPr>
              <w:t>部门使用预算资金是否符合相关的预算财务管理制度的规定，用以反映和考核部门预算资金的规范运行情况。</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预决算信息公开性</w:t>
            </w:r>
          </w:p>
        </w:tc>
        <w:tc>
          <w:tcPr>
            <w:tcW w:w="600" w:type="dxa"/>
            <w:vAlign w:val="center"/>
          </w:tcPr>
          <w:p>
            <w:pPr>
              <w:spacing w:line="260" w:lineRule="exact"/>
              <w:jc w:val="center"/>
              <w:rPr>
                <w:rFonts w:eastAsiaTheme="majorEastAsia"/>
                <w:sz w:val="20"/>
                <w:szCs w:val="20"/>
              </w:rPr>
            </w:pPr>
            <w:r>
              <w:rPr>
                <w:rFonts w:eastAsiaTheme="majorEastAsia"/>
                <w:sz w:val="20"/>
                <w:szCs w:val="20"/>
              </w:rPr>
              <w:t>5</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按规定内容公开预决算信息，1分；</w:t>
            </w:r>
            <w:r>
              <w:rPr>
                <w:rFonts w:hint="eastAsia" w:ascii="宋体" w:hAnsi="宋体" w:cs="宋体"/>
                <w:sz w:val="20"/>
                <w:szCs w:val="20"/>
              </w:rPr>
              <w:t>②</w:t>
            </w:r>
            <w:r>
              <w:rPr>
                <w:rFonts w:eastAsiaTheme="majorEastAsia"/>
                <w:sz w:val="20"/>
                <w:szCs w:val="20"/>
              </w:rPr>
              <w:t>按规定时限公开预决算信息，1分；</w:t>
            </w:r>
            <w:r>
              <w:rPr>
                <w:rFonts w:hint="eastAsia" w:ascii="宋体" w:hAnsi="宋体" w:cs="宋体"/>
                <w:sz w:val="20"/>
                <w:szCs w:val="20"/>
              </w:rPr>
              <w:t>③</w:t>
            </w:r>
            <w:r>
              <w:rPr>
                <w:rFonts w:eastAsiaTheme="majorEastAsia"/>
                <w:sz w:val="20"/>
                <w:szCs w:val="20"/>
              </w:rPr>
              <w:t>基础数据信息和会计信息资料真实，1分；</w:t>
            </w:r>
            <w:r>
              <w:rPr>
                <w:rFonts w:hint="eastAsia" w:ascii="宋体" w:hAnsi="宋体" w:cs="宋体"/>
                <w:sz w:val="20"/>
                <w:szCs w:val="20"/>
              </w:rPr>
              <w:t>④</w:t>
            </w:r>
            <w:r>
              <w:rPr>
                <w:rFonts w:eastAsiaTheme="majorEastAsia"/>
                <w:sz w:val="20"/>
                <w:szCs w:val="20"/>
              </w:rPr>
              <w:t>基础数据信息和会计信息资料完整，1分；</w:t>
            </w:r>
            <w:r>
              <w:rPr>
                <w:rFonts w:hint="eastAsia" w:ascii="宋体" w:hAnsi="宋体" w:cs="宋体"/>
                <w:sz w:val="20"/>
                <w:szCs w:val="20"/>
              </w:rPr>
              <w:t>⑤</w:t>
            </w:r>
            <w:r>
              <w:rPr>
                <w:rFonts w:eastAsiaTheme="majorEastAsia"/>
                <w:sz w:val="20"/>
                <w:szCs w:val="20"/>
              </w:rPr>
              <w:t>基础数据信息和汇集信息资料准确，1分。</w:t>
            </w:r>
          </w:p>
        </w:tc>
        <w:tc>
          <w:tcPr>
            <w:tcW w:w="3483" w:type="dxa"/>
            <w:vAlign w:val="center"/>
          </w:tcPr>
          <w:p>
            <w:pPr>
              <w:spacing w:line="260" w:lineRule="exact"/>
              <w:rPr>
                <w:rFonts w:eastAsiaTheme="majorEastAsia"/>
                <w:sz w:val="20"/>
                <w:szCs w:val="20"/>
              </w:rPr>
            </w:pPr>
            <w:r>
              <w:rPr>
                <w:rFonts w:eastAsiaTheme="majorEastAsia"/>
                <w:sz w:val="20"/>
                <w:szCs w:val="20"/>
              </w:rPr>
              <w:t>预决算信息是指与部门预算、执行、决算、监督、绩效等管理相关的信息。</w:t>
            </w:r>
          </w:p>
        </w:tc>
        <w:tc>
          <w:tcPr>
            <w:tcW w:w="637" w:type="dxa"/>
            <w:vAlign w:val="center"/>
          </w:tcPr>
          <w:p>
            <w:pPr>
              <w:spacing w:line="260" w:lineRule="exact"/>
              <w:jc w:val="center"/>
              <w:rPr>
                <w:rFonts w:eastAsiaTheme="majorEastAsia"/>
                <w:sz w:val="20"/>
                <w:szCs w:val="20"/>
              </w:rPr>
            </w:pPr>
            <w:r>
              <w:rPr>
                <w:rFonts w:eastAsiaTheme="maj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restart"/>
            <w:vAlign w:val="center"/>
          </w:tcPr>
          <w:p>
            <w:pPr>
              <w:spacing w:line="260" w:lineRule="exact"/>
              <w:rPr>
                <w:rFonts w:eastAsiaTheme="majorEastAsia"/>
                <w:sz w:val="20"/>
                <w:szCs w:val="20"/>
              </w:rPr>
            </w:pPr>
            <w:r>
              <w:rPr>
                <w:rFonts w:eastAsiaTheme="majorEastAsia"/>
                <w:sz w:val="20"/>
                <w:szCs w:val="20"/>
              </w:rPr>
              <w:t>资产管理</w:t>
            </w: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6</w:t>
            </w:r>
          </w:p>
        </w:tc>
        <w:tc>
          <w:tcPr>
            <w:tcW w:w="992" w:type="dxa"/>
            <w:vAlign w:val="center"/>
          </w:tcPr>
          <w:p>
            <w:pPr>
              <w:spacing w:line="260" w:lineRule="exact"/>
              <w:rPr>
                <w:rFonts w:eastAsiaTheme="majorEastAsia"/>
                <w:sz w:val="20"/>
                <w:szCs w:val="20"/>
              </w:rPr>
            </w:pPr>
            <w:r>
              <w:rPr>
                <w:rFonts w:eastAsiaTheme="majorEastAsia"/>
                <w:sz w:val="20"/>
                <w:szCs w:val="20"/>
              </w:rPr>
              <w:t>资产管理制度</w:t>
            </w:r>
          </w:p>
          <w:p>
            <w:pPr>
              <w:spacing w:line="260" w:lineRule="exact"/>
              <w:ind w:right="-27" w:rightChars="-13"/>
              <w:rPr>
                <w:rFonts w:eastAsiaTheme="majorEastAsia"/>
                <w:sz w:val="20"/>
                <w:szCs w:val="20"/>
              </w:rPr>
            </w:pPr>
            <w:r>
              <w:rPr>
                <w:rFonts w:eastAsiaTheme="majorEastAsia"/>
                <w:sz w:val="20"/>
                <w:szCs w:val="20"/>
              </w:rPr>
              <w:t>健全性</w:t>
            </w:r>
          </w:p>
        </w:tc>
        <w:tc>
          <w:tcPr>
            <w:tcW w:w="600" w:type="dxa"/>
            <w:vAlign w:val="center"/>
          </w:tcPr>
          <w:p>
            <w:pPr>
              <w:spacing w:line="260" w:lineRule="exact"/>
              <w:jc w:val="center"/>
              <w:rPr>
                <w:rFonts w:eastAsiaTheme="majorEastAsia"/>
                <w:sz w:val="20"/>
                <w:szCs w:val="20"/>
              </w:rPr>
            </w:pPr>
            <w:r>
              <w:rPr>
                <w:rFonts w:eastAsiaTheme="majorEastAsia"/>
                <w:sz w:val="20"/>
                <w:szCs w:val="20"/>
              </w:rPr>
              <w:t>2</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已制定或具有资产管理制度，且相关资产管理制度合法、合规、完整，1分；</w:t>
            </w:r>
            <w:r>
              <w:rPr>
                <w:rFonts w:hint="eastAsia" w:ascii="宋体" w:hAnsi="宋体" w:cs="宋体"/>
                <w:sz w:val="20"/>
                <w:szCs w:val="20"/>
              </w:rPr>
              <w:t>②</w:t>
            </w:r>
            <w:r>
              <w:rPr>
                <w:rFonts w:eastAsiaTheme="majorEastAsia"/>
                <w:sz w:val="20"/>
                <w:szCs w:val="20"/>
              </w:rPr>
              <w:t xml:space="preserve">相关资产管理制度得到有效执行，1分。  </w:t>
            </w:r>
          </w:p>
        </w:tc>
        <w:tc>
          <w:tcPr>
            <w:tcW w:w="3483" w:type="dxa"/>
            <w:vAlign w:val="center"/>
          </w:tcPr>
          <w:p>
            <w:pPr>
              <w:spacing w:line="260" w:lineRule="exact"/>
              <w:rPr>
                <w:rFonts w:eastAsiaTheme="majorEastAsia"/>
                <w:sz w:val="20"/>
                <w:szCs w:val="20"/>
              </w:rPr>
            </w:pPr>
            <w:r>
              <w:rPr>
                <w:rFonts w:eastAsiaTheme="majorEastAsia"/>
                <w:sz w:val="20"/>
                <w:szCs w:val="20"/>
              </w:rPr>
              <w:t>部门为加强资产管理、规范资产管理行为而制定的管理制度健全完整。</w:t>
            </w:r>
          </w:p>
        </w:tc>
        <w:tc>
          <w:tcPr>
            <w:tcW w:w="637" w:type="dxa"/>
            <w:vAlign w:val="center"/>
          </w:tcPr>
          <w:p>
            <w:pPr>
              <w:spacing w:line="260" w:lineRule="exact"/>
              <w:jc w:val="center"/>
              <w:rPr>
                <w:rFonts w:eastAsiaTheme="majorEastAsia"/>
                <w:sz w:val="20"/>
                <w:szCs w:val="20"/>
              </w:rPr>
            </w:pPr>
            <w:r>
              <w:rPr>
                <w:rFonts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资产管理安全性</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eastAsiaTheme="majorEastAsia"/>
                <w:sz w:val="20"/>
                <w:szCs w:val="20"/>
              </w:rPr>
              <w:t>资产保存完整；</w:t>
            </w:r>
          </w:p>
          <w:p>
            <w:pPr>
              <w:spacing w:line="260" w:lineRule="exact"/>
              <w:rPr>
                <w:rFonts w:eastAsiaTheme="majorEastAsia"/>
                <w:sz w:val="20"/>
                <w:szCs w:val="20"/>
              </w:rPr>
            </w:pPr>
            <w:r>
              <w:rPr>
                <w:rFonts w:hint="eastAsia" w:ascii="宋体" w:hAnsi="宋体" w:cs="宋体"/>
                <w:sz w:val="20"/>
                <w:szCs w:val="20"/>
              </w:rPr>
              <w:t>②</w:t>
            </w:r>
            <w:r>
              <w:rPr>
                <w:rFonts w:eastAsiaTheme="majorEastAsia"/>
                <w:sz w:val="20"/>
                <w:szCs w:val="20"/>
              </w:rPr>
              <w:t>资产配置合理；</w:t>
            </w:r>
          </w:p>
          <w:p>
            <w:pPr>
              <w:spacing w:line="260" w:lineRule="exact"/>
              <w:rPr>
                <w:rFonts w:eastAsiaTheme="majorEastAsia"/>
                <w:sz w:val="20"/>
                <w:szCs w:val="20"/>
              </w:rPr>
            </w:pPr>
            <w:r>
              <w:rPr>
                <w:rFonts w:hint="eastAsia" w:ascii="宋体" w:hAnsi="宋体" w:cs="宋体"/>
                <w:sz w:val="20"/>
                <w:szCs w:val="20"/>
              </w:rPr>
              <w:t>③</w:t>
            </w:r>
            <w:r>
              <w:rPr>
                <w:rFonts w:eastAsiaTheme="majorEastAsia"/>
                <w:sz w:val="20"/>
                <w:szCs w:val="20"/>
              </w:rPr>
              <w:t xml:space="preserve">资产处置规范； </w:t>
            </w:r>
          </w:p>
          <w:p>
            <w:pPr>
              <w:spacing w:line="260" w:lineRule="exact"/>
              <w:rPr>
                <w:rFonts w:eastAsiaTheme="majorEastAsia"/>
                <w:sz w:val="20"/>
                <w:szCs w:val="20"/>
              </w:rPr>
            </w:pPr>
            <w:r>
              <w:rPr>
                <w:rFonts w:hint="eastAsia" w:ascii="宋体" w:hAnsi="宋体" w:cs="宋体"/>
                <w:sz w:val="20"/>
                <w:szCs w:val="20"/>
              </w:rPr>
              <w:t>④</w:t>
            </w:r>
            <w:r>
              <w:rPr>
                <w:rFonts w:eastAsiaTheme="majorEastAsia"/>
                <w:sz w:val="20"/>
                <w:szCs w:val="20"/>
              </w:rPr>
              <w:t>资产账务管理合规，帐实相符；</w:t>
            </w:r>
          </w:p>
          <w:p>
            <w:pPr>
              <w:spacing w:line="260" w:lineRule="exact"/>
              <w:rPr>
                <w:rFonts w:eastAsiaTheme="majorEastAsia"/>
                <w:sz w:val="20"/>
                <w:szCs w:val="20"/>
              </w:rPr>
            </w:pPr>
            <w:r>
              <w:rPr>
                <w:rFonts w:hint="eastAsia" w:ascii="宋体" w:hAnsi="宋体" w:cs="宋体"/>
                <w:sz w:val="20"/>
                <w:szCs w:val="20"/>
              </w:rPr>
              <w:t>⑤</w:t>
            </w:r>
            <w:r>
              <w:rPr>
                <w:rFonts w:eastAsiaTheme="majorEastAsia"/>
                <w:sz w:val="20"/>
                <w:szCs w:val="20"/>
              </w:rPr>
              <w:t>资产有偿使用及处置收入及时足额上缴；</w:t>
            </w:r>
          </w:p>
          <w:p>
            <w:pPr>
              <w:spacing w:line="260" w:lineRule="exact"/>
              <w:rPr>
                <w:rFonts w:eastAsiaTheme="majorEastAsia"/>
                <w:sz w:val="20"/>
                <w:szCs w:val="20"/>
              </w:rPr>
            </w:pPr>
            <w:r>
              <w:rPr>
                <w:rFonts w:eastAsiaTheme="majorEastAsia"/>
                <w:sz w:val="20"/>
                <w:szCs w:val="20"/>
              </w:rPr>
              <w:t>以上情况每出现一例不符合有关要求的扣</w:t>
            </w:r>
            <w:r>
              <w:rPr>
                <w:rFonts w:hint="eastAsia" w:eastAsiaTheme="majorEastAsia"/>
                <w:sz w:val="20"/>
                <w:szCs w:val="20"/>
              </w:rPr>
              <w:t>0.5</w:t>
            </w:r>
            <w:r>
              <w:rPr>
                <w:rFonts w:eastAsiaTheme="majorEastAsia"/>
                <w:sz w:val="20"/>
                <w:szCs w:val="20"/>
              </w:rPr>
              <w:t>分，扣完为止。</w:t>
            </w:r>
          </w:p>
        </w:tc>
        <w:tc>
          <w:tcPr>
            <w:tcW w:w="3483" w:type="dxa"/>
            <w:vAlign w:val="center"/>
          </w:tcPr>
          <w:p>
            <w:pPr>
              <w:spacing w:line="260" w:lineRule="exact"/>
              <w:rPr>
                <w:rFonts w:eastAsiaTheme="majorEastAsia"/>
                <w:sz w:val="20"/>
                <w:szCs w:val="20"/>
              </w:rPr>
            </w:pPr>
            <w:r>
              <w:rPr>
                <w:rFonts w:eastAsiaTheme="majorEastAsia"/>
                <w:sz w:val="20"/>
                <w:szCs w:val="20"/>
              </w:rPr>
              <w:t>部门的资产保存完整、使用合规、配置合理、处置规范、收入及时足额上缴。</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right="-27" w:rightChars="-13"/>
              <w:rPr>
                <w:rFonts w:eastAsiaTheme="majorEastAsia"/>
                <w:sz w:val="20"/>
                <w:szCs w:val="20"/>
              </w:rPr>
            </w:pPr>
            <w:r>
              <w:rPr>
                <w:rFonts w:eastAsiaTheme="majorEastAsia"/>
                <w:sz w:val="20"/>
                <w:szCs w:val="20"/>
              </w:rPr>
              <w:t>固定资产利用率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2</w:t>
            </w:r>
          </w:p>
        </w:tc>
        <w:tc>
          <w:tcPr>
            <w:tcW w:w="2664" w:type="dxa"/>
            <w:vAlign w:val="center"/>
          </w:tcPr>
          <w:p>
            <w:pPr>
              <w:spacing w:line="260" w:lineRule="exact"/>
              <w:rPr>
                <w:rFonts w:eastAsiaTheme="majorEastAsia"/>
                <w:sz w:val="20"/>
                <w:szCs w:val="20"/>
              </w:rPr>
            </w:pPr>
            <w:r>
              <w:rPr>
                <w:rFonts w:eastAsiaTheme="majorEastAsia"/>
                <w:sz w:val="20"/>
                <w:szCs w:val="20"/>
              </w:rPr>
              <w:t>每低于100%一个百分点扣0.</w:t>
            </w:r>
            <w:r>
              <w:rPr>
                <w:rFonts w:hint="eastAsia" w:eastAsiaTheme="majorEastAsia"/>
                <w:sz w:val="20"/>
                <w:szCs w:val="20"/>
              </w:rPr>
              <w:t>5</w:t>
            </w:r>
            <w:r>
              <w:rPr>
                <w:rFonts w:eastAsiaTheme="majorEastAsia"/>
                <w:sz w:val="20"/>
                <w:szCs w:val="20"/>
              </w:rPr>
              <w:t>分，扣完为止。</w:t>
            </w:r>
          </w:p>
        </w:tc>
        <w:tc>
          <w:tcPr>
            <w:tcW w:w="3483" w:type="dxa"/>
            <w:vAlign w:val="center"/>
          </w:tcPr>
          <w:p>
            <w:pPr>
              <w:spacing w:line="260" w:lineRule="exact"/>
              <w:rPr>
                <w:rFonts w:eastAsiaTheme="majorEastAsia"/>
                <w:sz w:val="20"/>
                <w:szCs w:val="20"/>
              </w:rPr>
            </w:pPr>
            <w:r>
              <w:rPr>
                <w:rFonts w:eastAsiaTheme="majorEastAsia"/>
                <w:sz w:val="20"/>
                <w:szCs w:val="20"/>
              </w:rPr>
              <w:t>固定资产利用率=（实际在用固定资产总额/所有固定资产总额）×100%=100%。</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659" w:type="dxa"/>
            <w:vMerge w:val="restart"/>
            <w:vAlign w:val="center"/>
          </w:tcPr>
          <w:p>
            <w:pPr>
              <w:spacing w:line="260" w:lineRule="exact"/>
              <w:rPr>
                <w:rFonts w:eastAsiaTheme="majorEastAsia"/>
                <w:sz w:val="20"/>
                <w:szCs w:val="20"/>
              </w:rPr>
            </w:pPr>
            <w:r>
              <w:rPr>
                <w:rFonts w:eastAsiaTheme="majorEastAsia"/>
                <w:sz w:val="20"/>
                <w:szCs w:val="20"/>
              </w:rPr>
              <w:t>产出及效益</w:t>
            </w:r>
          </w:p>
        </w:tc>
        <w:tc>
          <w:tcPr>
            <w:tcW w:w="470" w:type="dxa"/>
            <w:vMerge w:val="restart"/>
            <w:vAlign w:val="center"/>
          </w:tcPr>
          <w:p>
            <w:pPr>
              <w:spacing w:line="260" w:lineRule="exact"/>
              <w:rPr>
                <w:rFonts w:eastAsiaTheme="majorEastAsia"/>
                <w:sz w:val="20"/>
                <w:szCs w:val="20"/>
              </w:rPr>
            </w:pPr>
            <w:r>
              <w:rPr>
                <w:rFonts w:hint="eastAsia" w:eastAsiaTheme="majorEastAsia"/>
                <w:sz w:val="20"/>
                <w:szCs w:val="20"/>
              </w:rPr>
              <w:t>40</w:t>
            </w:r>
          </w:p>
        </w:tc>
        <w:tc>
          <w:tcPr>
            <w:tcW w:w="577" w:type="dxa"/>
            <w:vAlign w:val="center"/>
          </w:tcPr>
          <w:p>
            <w:pPr>
              <w:spacing w:line="260" w:lineRule="exact"/>
              <w:rPr>
                <w:rFonts w:eastAsiaTheme="majorEastAsia"/>
                <w:sz w:val="20"/>
                <w:szCs w:val="20"/>
              </w:rPr>
            </w:pPr>
            <w:r>
              <w:rPr>
                <w:rFonts w:eastAsiaTheme="majorEastAsia"/>
                <w:sz w:val="20"/>
                <w:szCs w:val="20"/>
              </w:rPr>
              <w:t>职责履行</w:t>
            </w:r>
          </w:p>
        </w:tc>
        <w:tc>
          <w:tcPr>
            <w:tcW w:w="662"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992" w:type="dxa"/>
            <w:vAlign w:val="center"/>
          </w:tcPr>
          <w:p>
            <w:pPr>
              <w:spacing w:line="260" w:lineRule="exact"/>
              <w:ind w:right="-13" w:rightChars="-6"/>
              <w:rPr>
                <w:rFonts w:eastAsiaTheme="majorEastAsia"/>
                <w:sz w:val="20"/>
                <w:szCs w:val="20"/>
              </w:rPr>
            </w:pPr>
            <w:r>
              <w:rPr>
                <w:rFonts w:eastAsiaTheme="majorEastAsia"/>
                <w:sz w:val="20"/>
                <w:szCs w:val="20"/>
              </w:rPr>
              <w:t>重点工作实际完成率</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2664" w:type="dxa"/>
            <w:vAlign w:val="center"/>
          </w:tcPr>
          <w:p>
            <w:pPr>
              <w:spacing w:line="260" w:lineRule="exact"/>
              <w:rPr>
                <w:rFonts w:eastAsiaTheme="majorEastAsia"/>
                <w:sz w:val="20"/>
                <w:szCs w:val="20"/>
              </w:rPr>
            </w:pPr>
            <w:r>
              <w:rPr>
                <w:rFonts w:eastAsiaTheme="majorEastAsia"/>
                <w:sz w:val="20"/>
                <w:szCs w:val="20"/>
              </w:rPr>
              <w:t>根据绩效办20</w:t>
            </w:r>
            <w:r>
              <w:rPr>
                <w:rFonts w:hint="eastAsia" w:eastAsiaTheme="majorEastAsia"/>
                <w:sz w:val="20"/>
                <w:szCs w:val="20"/>
              </w:rPr>
              <w:t>21</w:t>
            </w:r>
            <w:r>
              <w:rPr>
                <w:rFonts w:eastAsiaTheme="majorEastAsia"/>
                <w:sz w:val="20"/>
                <w:szCs w:val="20"/>
              </w:rPr>
              <w:t>年对各部门为民办实事和部门重点工程与重点工作考核分数折算。</w:t>
            </w:r>
          </w:p>
          <w:p>
            <w:pPr>
              <w:spacing w:line="260" w:lineRule="exact"/>
              <w:rPr>
                <w:rFonts w:eastAsiaTheme="majorEastAsia"/>
                <w:sz w:val="20"/>
                <w:szCs w:val="20"/>
              </w:rPr>
            </w:pPr>
            <w:r>
              <w:rPr>
                <w:rFonts w:eastAsiaTheme="majorEastAsia"/>
                <w:sz w:val="20"/>
                <w:szCs w:val="20"/>
              </w:rPr>
              <w:t>该项得分</w:t>
            </w:r>
            <w:r>
              <w:rPr>
                <w:rFonts w:hint="eastAsia" w:eastAsiaTheme="majorEastAsia"/>
                <w:sz w:val="20"/>
                <w:szCs w:val="20"/>
              </w:rPr>
              <w:t>按</w:t>
            </w:r>
            <w:r>
              <w:rPr>
                <w:rFonts w:eastAsiaTheme="majorEastAsia"/>
                <w:sz w:val="20"/>
                <w:szCs w:val="20"/>
              </w:rPr>
              <w:t>绩效办</w:t>
            </w:r>
            <w:r>
              <w:rPr>
                <w:rFonts w:hint="eastAsia" w:eastAsiaTheme="majorEastAsia"/>
                <w:sz w:val="20"/>
                <w:szCs w:val="20"/>
              </w:rPr>
              <w:t>根据重点工作完成情况</w:t>
            </w:r>
            <w:r>
              <w:rPr>
                <w:rFonts w:eastAsiaTheme="majorEastAsia"/>
                <w:sz w:val="20"/>
                <w:szCs w:val="20"/>
              </w:rPr>
              <w:t>考核</w:t>
            </w:r>
            <w:r>
              <w:rPr>
                <w:rFonts w:hint="eastAsia" w:eastAsiaTheme="majorEastAsia"/>
                <w:sz w:val="20"/>
                <w:szCs w:val="20"/>
              </w:rPr>
              <w:t>计分。</w:t>
            </w:r>
          </w:p>
        </w:tc>
        <w:tc>
          <w:tcPr>
            <w:tcW w:w="3483" w:type="dxa"/>
            <w:vAlign w:val="center"/>
          </w:tcPr>
          <w:p>
            <w:pPr>
              <w:spacing w:line="260" w:lineRule="exact"/>
              <w:rPr>
                <w:rFonts w:eastAsiaTheme="majorEastAsia"/>
                <w:sz w:val="20"/>
                <w:szCs w:val="20"/>
              </w:rPr>
            </w:pPr>
            <w:r>
              <w:rPr>
                <w:rFonts w:eastAsiaTheme="majorEastAsia"/>
                <w:sz w:val="20"/>
                <w:szCs w:val="20"/>
              </w:rPr>
              <w:t>该项得分</w:t>
            </w:r>
            <w:r>
              <w:rPr>
                <w:rFonts w:hint="eastAsia" w:eastAsiaTheme="majorEastAsia"/>
                <w:sz w:val="20"/>
                <w:szCs w:val="20"/>
              </w:rPr>
              <w:t>按</w:t>
            </w:r>
            <w:r>
              <w:rPr>
                <w:rFonts w:eastAsiaTheme="majorEastAsia"/>
                <w:sz w:val="20"/>
                <w:szCs w:val="20"/>
              </w:rPr>
              <w:t>绩效办</w:t>
            </w:r>
            <w:r>
              <w:rPr>
                <w:rFonts w:hint="eastAsia" w:eastAsiaTheme="majorEastAsia"/>
                <w:sz w:val="20"/>
                <w:szCs w:val="20"/>
              </w:rPr>
              <w:t>根据重点工作完成情况</w:t>
            </w:r>
            <w:r>
              <w:rPr>
                <w:rFonts w:eastAsiaTheme="majorEastAsia"/>
                <w:sz w:val="20"/>
                <w:szCs w:val="20"/>
              </w:rPr>
              <w:t>考核</w:t>
            </w:r>
            <w:r>
              <w:rPr>
                <w:rFonts w:hint="eastAsia" w:eastAsiaTheme="majorEastAsia"/>
                <w:sz w:val="20"/>
                <w:szCs w:val="20"/>
              </w:rPr>
              <w:t>计分。</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restart"/>
            <w:vAlign w:val="center"/>
          </w:tcPr>
          <w:p>
            <w:pPr>
              <w:spacing w:line="260" w:lineRule="exact"/>
              <w:rPr>
                <w:rFonts w:eastAsiaTheme="majorEastAsia"/>
                <w:sz w:val="20"/>
                <w:szCs w:val="20"/>
              </w:rPr>
            </w:pPr>
            <w:r>
              <w:rPr>
                <w:rFonts w:eastAsiaTheme="majorEastAsia"/>
                <w:sz w:val="20"/>
                <w:szCs w:val="20"/>
              </w:rPr>
              <w:t>履职 效益</w:t>
            </w: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c>
          <w:tcPr>
            <w:tcW w:w="992" w:type="dxa"/>
            <w:vAlign w:val="center"/>
          </w:tcPr>
          <w:p>
            <w:pPr>
              <w:spacing w:line="260" w:lineRule="exact"/>
              <w:ind w:left="1" w:leftChars="-13" w:hanging="28" w:hangingChars="14"/>
              <w:jc w:val="center"/>
              <w:rPr>
                <w:rFonts w:eastAsiaTheme="majorEastAsia"/>
                <w:sz w:val="20"/>
                <w:szCs w:val="20"/>
              </w:rPr>
            </w:pPr>
            <w:r>
              <w:rPr>
                <w:rFonts w:eastAsiaTheme="majorEastAsia"/>
                <w:sz w:val="20"/>
                <w:szCs w:val="20"/>
              </w:rPr>
              <w:t>经济效益</w:t>
            </w:r>
          </w:p>
        </w:tc>
        <w:tc>
          <w:tcPr>
            <w:tcW w:w="600"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c>
          <w:tcPr>
            <w:tcW w:w="6147" w:type="dxa"/>
            <w:gridSpan w:val="2"/>
            <w:vMerge w:val="restart"/>
            <w:vAlign w:val="center"/>
          </w:tcPr>
          <w:p>
            <w:pPr>
              <w:pStyle w:val="14"/>
              <w:ind w:firstLine="0" w:firstLineChars="0"/>
              <w:rPr>
                <w:rFonts w:eastAsiaTheme="majorEastAsia"/>
                <w:bCs/>
                <w:sz w:val="20"/>
                <w:szCs w:val="20"/>
              </w:rPr>
            </w:pPr>
            <w:r>
              <w:rPr>
                <w:rFonts w:hint="eastAsia" w:ascii="宋体" w:hAnsi="宋体" w:cs="宋体"/>
                <w:sz w:val="20"/>
                <w:szCs w:val="20"/>
              </w:rPr>
              <w:t>①</w:t>
            </w:r>
            <w:r>
              <w:rPr>
                <w:rFonts w:hint="eastAsia" w:eastAsiaTheme="majorEastAsia"/>
                <w:sz w:val="20"/>
                <w:szCs w:val="20"/>
              </w:rPr>
              <w:t>以高质量公共资源交易助力营商环境优化</w:t>
            </w:r>
            <w:r>
              <w:rPr>
                <w:rFonts w:eastAsiaTheme="majorEastAsia"/>
                <w:bCs/>
                <w:sz w:val="20"/>
                <w:szCs w:val="20"/>
              </w:rPr>
              <w:t>（</w:t>
            </w:r>
            <w:r>
              <w:rPr>
                <w:rFonts w:hint="eastAsia" w:eastAsiaTheme="majorEastAsia"/>
                <w:bCs/>
                <w:sz w:val="20"/>
                <w:szCs w:val="20"/>
              </w:rPr>
              <w:t>5</w:t>
            </w:r>
            <w:r>
              <w:rPr>
                <w:rFonts w:eastAsiaTheme="majorEastAsia"/>
                <w:bCs/>
                <w:sz w:val="20"/>
                <w:szCs w:val="20"/>
              </w:rPr>
              <w:t>分）；</w:t>
            </w:r>
          </w:p>
          <w:p>
            <w:pPr>
              <w:pStyle w:val="14"/>
              <w:ind w:firstLine="0" w:firstLineChars="0"/>
              <w:rPr>
                <w:rFonts w:eastAsiaTheme="majorEastAsia"/>
                <w:sz w:val="20"/>
                <w:szCs w:val="20"/>
              </w:rPr>
            </w:pPr>
            <w:r>
              <w:rPr>
                <w:rFonts w:hint="eastAsia" w:eastAsiaTheme="majorEastAsia"/>
                <w:bCs/>
                <w:sz w:val="20"/>
                <w:szCs w:val="20"/>
              </w:rPr>
              <w:t>②推进社会公共交易平台、信用体系高质量发展</w:t>
            </w:r>
            <w:r>
              <w:rPr>
                <w:rFonts w:eastAsiaTheme="majorEastAsia"/>
                <w:bCs/>
                <w:sz w:val="20"/>
                <w:szCs w:val="20"/>
              </w:rPr>
              <w:t>（</w:t>
            </w:r>
            <w:r>
              <w:rPr>
                <w:rFonts w:hint="eastAsia" w:eastAsiaTheme="majorEastAsia"/>
                <w:bCs/>
                <w:sz w:val="20"/>
                <w:szCs w:val="20"/>
              </w:rPr>
              <w:t>5</w:t>
            </w:r>
            <w:r>
              <w:rPr>
                <w:rFonts w:eastAsiaTheme="majorEastAsia"/>
                <w:bCs/>
                <w:sz w:val="20"/>
                <w:szCs w:val="20"/>
              </w:rPr>
              <w:t>分）。</w:t>
            </w:r>
          </w:p>
        </w:tc>
        <w:tc>
          <w:tcPr>
            <w:tcW w:w="637"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ind w:left="1" w:leftChars="-33" w:hanging="70" w:hangingChars="35"/>
              <w:rPr>
                <w:rFonts w:eastAsiaTheme="majorEastAsia"/>
                <w:sz w:val="20"/>
                <w:szCs w:val="20"/>
              </w:rPr>
            </w:pPr>
            <w:r>
              <w:rPr>
                <w:rFonts w:eastAsiaTheme="majorEastAsia"/>
                <w:sz w:val="20"/>
                <w:szCs w:val="20"/>
              </w:rPr>
              <w:t>社会效益</w:t>
            </w:r>
          </w:p>
        </w:tc>
        <w:tc>
          <w:tcPr>
            <w:tcW w:w="600" w:type="dxa"/>
            <w:vMerge w:val="continue"/>
            <w:vAlign w:val="center"/>
          </w:tcPr>
          <w:p>
            <w:pPr>
              <w:jc w:val="center"/>
              <w:rPr>
                <w:rFonts w:eastAsiaTheme="majorEastAsia"/>
                <w:sz w:val="20"/>
                <w:szCs w:val="20"/>
              </w:rPr>
            </w:pPr>
          </w:p>
        </w:tc>
        <w:tc>
          <w:tcPr>
            <w:tcW w:w="6147" w:type="dxa"/>
            <w:gridSpan w:val="2"/>
            <w:vMerge w:val="continue"/>
            <w:vAlign w:val="center"/>
          </w:tcPr>
          <w:p>
            <w:pPr>
              <w:rPr>
                <w:rFonts w:eastAsiaTheme="majorEastAsia"/>
                <w:sz w:val="20"/>
                <w:szCs w:val="20"/>
              </w:rPr>
            </w:pPr>
          </w:p>
        </w:tc>
        <w:tc>
          <w:tcPr>
            <w:tcW w:w="637" w:type="dxa"/>
            <w:vMerge w:val="continue"/>
            <w:vAlign w:val="center"/>
          </w:tcPr>
          <w:p>
            <w:pPr>
              <w:jc w:val="center"/>
              <w:rPr>
                <w:rFonts w:eastAsiaTheme="maj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restart"/>
            <w:vAlign w:val="center"/>
          </w:tcPr>
          <w:p>
            <w:pPr>
              <w:spacing w:line="260" w:lineRule="exact"/>
              <w:jc w:val="center"/>
              <w:rPr>
                <w:rFonts w:eastAsiaTheme="majorEastAsia"/>
                <w:sz w:val="20"/>
                <w:szCs w:val="20"/>
              </w:rPr>
            </w:pPr>
            <w:r>
              <w:rPr>
                <w:rFonts w:hint="eastAsia" w:eastAsiaTheme="majorEastAsia"/>
                <w:sz w:val="20"/>
                <w:szCs w:val="20"/>
              </w:rPr>
              <w:t>10</w:t>
            </w:r>
          </w:p>
        </w:tc>
        <w:tc>
          <w:tcPr>
            <w:tcW w:w="992" w:type="dxa"/>
            <w:vAlign w:val="center"/>
          </w:tcPr>
          <w:p>
            <w:pPr>
              <w:spacing w:line="260" w:lineRule="exact"/>
              <w:ind w:right="-38" w:rightChars="-18"/>
              <w:rPr>
                <w:rFonts w:eastAsiaTheme="majorEastAsia"/>
                <w:sz w:val="20"/>
                <w:szCs w:val="20"/>
              </w:rPr>
            </w:pPr>
            <w:r>
              <w:rPr>
                <w:rFonts w:eastAsiaTheme="majorEastAsia"/>
                <w:sz w:val="20"/>
                <w:szCs w:val="20"/>
              </w:rPr>
              <w:t>行政效能</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2664" w:type="dxa"/>
            <w:vAlign w:val="center"/>
          </w:tcPr>
          <w:p>
            <w:pPr>
              <w:spacing w:line="260" w:lineRule="exact"/>
              <w:rPr>
                <w:rFonts w:eastAsiaTheme="majorEastAsia"/>
                <w:sz w:val="20"/>
                <w:szCs w:val="20"/>
              </w:rPr>
            </w:pPr>
            <w:r>
              <w:rPr>
                <w:rFonts w:hint="eastAsia" w:ascii="宋体" w:hAnsi="宋体" w:cs="宋体"/>
                <w:sz w:val="20"/>
                <w:szCs w:val="20"/>
              </w:rPr>
              <w:t>①</w:t>
            </w:r>
            <w:r>
              <w:rPr>
                <w:rFonts w:hint="eastAsia" w:eastAsiaTheme="majorEastAsia"/>
                <w:sz w:val="20"/>
                <w:szCs w:val="20"/>
              </w:rPr>
              <w:t>贯彻执行国家和省有关公共资源交易的方针政策和法律法规，为市场主体、社会公众、行政监督管理部门提供综合服务。</w:t>
            </w:r>
          </w:p>
          <w:p>
            <w:pPr>
              <w:spacing w:line="260" w:lineRule="exact"/>
              <w:rPr>
                <w:rFonts w:eastAsiaTheme="majorEastAsia"/>
                <w:sz w:val="20"/>
                <w:szCs w:val="20"/>
              </w:rPr>
            </w:pPr>
            <w:r>
              <w:rPr>
                <w:rFonts w:hint="eastAsia" w:eastAsiaTheme="majorEastAsia"/>
                <w:bCs/>
                <w:sz w:val="20"/>
                <w:szCs w:val="20"/>
              </w:rPr>
              <w:t>②</w:t>
            </w:r>
            <w:r>
              <w:rPr>
                <w:rFonts w:hint="eastAsia" w:eastAsiaTheme="majorEastAsia"/>
                <w:sz w:val="20"/>
                <w:szCs w:val="20"/>
              </w:rPr>
              <w:t>为公共资源交易平台提供运行服务。</w:t>
            </w:r>
            <w:r>
              <w:rPr>
                <w:rFonts w:eastAsiaTheme="majorEastAsia"/>
                <w:sz w:val="20"/>
                <w:szCs w:val="20"/>
              </w:rPr>
              <w:t>推动网上办事，提高行政效率，降低行政成本效果较好</w:t>
            </w:r>
            <w:r>
              <w:rPr>
                <w:rFonts w:hint="eastAsia" w:eastAsiaTheme="majorEastAsia"/>
                <w:sz w:val="20"/>
                <w:szCs w:val="20"/>
              </w:rPr>
              <w:t>。</w:t>
            </w:r>
          </w:p>
          <w:p>
            <w:pPr>
              <w:spacing w:line="260" w:lineRule="exact"/>
              <w:rPr>
                <w:rFonts w:eastAsiaTheme="majorEastAsia"/>
                <w:sz w:val="20"/>
                <w:szCs w:val="20"/>
              </w:rPr>
            </w:pPr>
            <w:r>
              <w:rPr>
                <w:rFonts w:hint="eastAsia" w:eastAsiaTheme="majorEastAsia"/>
                <w:sz w:val="20"/>
                <w:szCs w:val="20"/>
              </w:rPr>
              <w:t>以上效能完成效果较好</w:t>
            </w:r>
            <w:r>
              <w:rPr>
                <w:rFonts w:eastAsiaTheme="majorEastAsia"/>
                <w:sz w:val="20"/>
                <w:szCs w:val="20"/>
              </w:rPr>
              <w:t>计</w:t>
            </w:r>
            <w:r>
              <w:rPr>
                <w:rFonts w:hint="eastAsia" w:eastAsiaTheme="majorEastAsia"/>
                <w:sz w:val="20"/>
                <w:szCs w:val="20"/>
              </w:rPr>
              <w:t>10</w:t>
            </w:r>
            <w:r>
              <w:rPr>
                <w:rFonts w:eastAsiaTheme="majorEastAsia"/>
                <w:sz w:val="20"/>
                <w:szCs w:val="20"/>
              </w:rPr>
              <w:t>分；一般</w:t>
            </w:r>
            <w:r>
              <w:rPr>
                <w:rFonts w:hint="eastAsia" w:eastAsiaTheme="majorEastAsia"/>
                <w:sz w:val="20"/>
                <w:szCs w:val="20"/>
              </w:rPr>
              <w:t>5</w:t>
            </w:r>
            <w:r>
              <w:rPr>
                <w:rFonts w:eastAsiaTheme="majorEastAsia"/>
                <w:sz w:val="20"/>
                <w:szCs w:val="20"/>
              </w:rPr>
              <w:t>分；无效果或者效果不明显0分。</w:t>
            </w:r>
          </w:p>
        </w:tc>
        <w:tc>
          <w:tcPr>
            <w:tcW w:w="3483" w:type="dxa"/>
            <w:vAlign w:val="center"/>
          </w:tcPr>
          <w:p>
            <w:pPr>
              <w:spacing w:line="260" w:lineRule="exact"/>
              <w:rPr>
                <w:rFonts w:eastAsiaTheme="majorEastAsia"/>
                <w:sz w:val="20"/>
                <w:szCs w:val="20"/>
              </w:rPr>
            </w:pPr>
            <w:r>
              <w:rPr>
                <w:rFonts w:eastAsiaTheme="majorEastAsia"/>
                <w:sz w:val="20"/>
                <w:szCs w:val="20"/>
              </w:rPr>
              <w:t>根据部门自评材料评定。</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59" w:type="dxa"/>
            <w:vMerge w:val="continue"/>
            <w:vAlign w:val="center"/>
          </w:tcPr>
          <w:p>
            <w:pPr>
              <w:rPr>
                <w:rFonts w:eastAsiaTheme="majorEastAsia"/>
                <w:sz w:val="20"/>
                <w:szCs w:val="20"/>
              </w:rPr>
            </w:pPr>
          </w:p>
        </w:tc>
        <w:tc>
          <w:tcPr>
            <w:tcW w:w="470" w:type="dxa"/>
            <w:vMerge w:val="continue"/>
            <w:vAlign w:val="center"/>
          </w:tcPr>
          <w:p>
            <w:pPr>
              <w:rPr>
                <w:rFonts w:eastAsiaTheme="majorEastAsia"/>
                <w:sz w:val="20"/>
                <w:szCs w:val="20"/>
              </w:rPr>
            </w:pPr>
          </w:p>
        </w:tc>
        <w:tc>
          <w:tcPr>
            <w:tcW w:w="577" w:type="dxa"/>
            <w:vMerge w:val="continue"/>
            <w:vAlign w:val="center"/>
          </w:tcPr>
          <w:p>
            <w:pPr>
              <w:rPr>
                <w:rFonts w:eastAsiaTheme="majorEastAsia"/>
                <w:sz w:val="20"/>
                <w:szCs w:val="20"/>
              </w:rPr>
            </w:pPr>
          </w:p>
        </w:tc>
        <w:tc>
          <w:tcPr>
            <w:tcW w:w="662" w:type="dxa"/>
            <w:vMerge w:val="continue"/>
            <w:vAlign w:val="center"/>
          </w:tcPr>
          <w:p>
            <w:pPr>
              <w:jc w:val="center"/>
              <w:rPr>
                <w:rFonts w:eastAsiaTheme="majorEastAsia"/>
                <w:sz w:val="20"/>
                <w:szCs w:val="20"/>
              </w:rPr>
            </w:pPr>
          </w:p>
        </w:tc>
        <w:tc>
          <w:tcPr>
            <w:tcW w:w="992" w:type="dxa"/>
            <w:vAlign w:val="center"/>
          </w:tcPr>
          <w:p>
            <w:pPr>
              <w:spacing w:line="260" w:lineRule="exact"/>
              <w:rPr>
                <w:rFonts w:eastAsiaTheme="majorEastAsia"/>
                <w:sz w:val="20"/>
                <w:szCs w:val="20"/>
              </w:rPr>
            </w:pPr>
            <w:r>
              <w:rPr>
                <w:rFonts w:eastAsiaTheme="majorEastAsia"/>
                <w:sz w:val="20"/>
                <w:szCs w:val="20"/>
              </w:rPr>
              <w:t>社会公众或服务对象满意度</w:t>
            </w:r>
          </w:p>
        </w:tc>
        <w:tc>
          <w:tcPr>
            <w:tcW w:w="600" w:type="dxa"/>
            <w:vAlign w:val="center"/>
          </w:tcPr>
          <w:p>
            <w:pPr>
              <w:spacing w:line="260" w:lineRule="exact"/>
              <w:jc w:val="center"/>
              <w:rPr>
                <w:rFonts w:eastAsiaTheme="majorEastAsia"/>
                <w:sz w:val="20"/>
                <w:szCs w:val="20"/>
              </w:rPr>
            </w:pPr>
            <w:r>
              <w:rPr>
                <w:rFonts w:hint="eastAsia" w:eastAsiaTheme="majorEastAsia"/>
                <w:sz w:val="20"/>
                <w:szCs w:val="20"/>
              </w:rPr>
              <w:t>10</w:t>
            </w:r>
          </w:p>
        </w:tc>
        <w:tc>
          <w:tcPr>
            <w:tcW w:w="2664" w:type="dxa"/>
            <w:vAlign w:val="center"/>
          </w:tcPr>
          <w:p>
            <w:pPr>
              <w:spacing w:line="260" w:lineRule="exact"/>
              <w:rPr>
                <w:rFonts w:eastAsiaTheme="majorEastAsia"/>
                <w:sz w:val="20"/>
                <w:szCs w:val="20"/>
              </w:rPr>
            </w:pPr>
            <w:r>
              <w:rPr>
                <w:rFonts w:eastAsiaTheme="majorEastAsia"/>
                <w:sz w:val="20"/>
                <w:szCs w:val="20"/>
              </w:rPr>
              <w:t>90%（含）以上计</w:t>
            </w:r>
            <w:r>
              <w:rPr>
                <w:rFonts w:hint="eastAsia" w:eastAsiaTheme="majorEastAsia"/>
                <w:sz w:val="20"/>
                <w:szCs w:val="20"/>
              </w:rPr>
              <w:t>10</w:t>
            </w:r>
            <w:r>
              <w:rPr>
                <w:rFonts w:eastAsiaTheme="majorEastAsia"/>
                <w:sz w:val="20"/>
                <w:szCs w:val="20"/>
              </w:rPr>
              <w:t>分；</w:t>
            </w:r>
          </w:p>
          <w:p>
            <w:pPr>
              <w:spacing w:line="260" w:lineRule="exact"/>
              <w:rPr>
                <w:rFonts w:eastAsiaTheme="majorEastAsia"/>
                <w:sz w:val="20"/>
                <w:szCs w:val="20"/>
              </w:rPr>
            </w:pPr>
            <w:r>
              <w:rPr>
                <w:rFonts w:eastAsiaTheme="majorEastAsia"/>
                <w:sz w:val="20"/>
                <w:szCs w:val="20"/>
              </w:rPr>
              <w:t>80%（含）-90%，计</w:t>
            </w:r>
            <w:r>
              <w:rPr>
                <w:rFonts w:hint="eastAsia" w:eastAsiaTheme="majorEastAsia"/>
                <w:sz w:val="20"/>
                <w:szCs w:val="20"/>
              </w:rPr>
              <w:t>8</w:t>
            </w:r>
            <w:r>
              <w:rPr>
                <w:rFonts w:eastAsiaTheme="majorEastAsia"/>
                <w:sz w:val="20"/>
                <w:szCs w:val="20"/>
              </w:rPr>
              <w:t>分；</w:t>
            </w:r>
          </w:p>
          <w:p>
            <w:pPr>
              <w:spacing w:line="260" w:lineRule="exact"/>
              <w:rPr>
                <w:rFonts w:eastAsiaTheme="majorEastAsia"/>
                <w:sz w:val="20"/>
                <w:szCs w:val="20"/>
              </w:rPr>
            </w:pPr>
            <w:r>
              <w:rPr>
                <w:rFonts w:eastAsiaTheme="majorEastAsia"/>
                <w:sz w:val="20"/>
                <w:szCs w:val="20"/>
              </w:rPr>
              <w:t>70%（含）-80%，计</w:t>
            </w:r>
            <w:r>
              <w:rPr>
                <w:rFonts w:hint="eastAsia" w:eastAsiaTheme="majorEastAsia"/>
                <w:sz w:val="20"/>
                <w:szCs w:val="20"/>
              </w:rPr>
              <w:t>6</w:t>
            </w:r>
            <w:r>
              <w:rPr>
                <w:rFonts w:eastAsiaTheme="majorEastAsia"/>
                <w:sz w:val="20"/>
                <w:szCs w:val="20"/>
              </w:rPr>
              <w:t>分；</w:t>
            </w:r>
          </w:p>
          <w:p>
            <w:pPr>
              <w:spacing w:line="260" w:lineRule="exact"/>
              <w:rPr>
                <w:rFonts w:eastAsiaTheme="majorEastAsia"/>
                <w:sz w:val="20"/>
                <w:szCs w:val="20"/>
              </w:rPr>
            </w:pPr>
            <w:r>
              <w:rPr>
                <w:rFonts w:eastAsiaTheme="majorEastAsia"/>
                <w:sz w:val="20"/>
                <w:szCs w:val="20"/>
              </w:rPr>
              <w:t>低于70%计0分。</w:t>
            </w:r>
          </w:p>
        </w:tc>
        <w:tc>
          <w:tcPr>
            <w:tcW w:w="3483" w:type="dxa"/>
            <w:vAlign w:val="center"/>
          </w:tcPr>
          <w:p>
            <w:pPr>
              <w:spacing w:line="260" w:lineRule="exact"/>
              <w:rPr>
                <w:rFonts w:eastAsiaTheme="majorEastAsia"/>
                <w:sz w:val="20"/>
                <w:szCs w:val="20"/>
              </w:rPr>
            </w:pPr>
            <w:r>
              <w:rPr>
                <w:rFonts w:eastAsiaTheme="majorEastAsia"/>
                <w:sz w:val="20"/>
                <w:szCs w:val="20"/>
              </w:rPr>
              <w:t>社会公众或服务对象是指部门（单位）履行职责而影响到的部门、群体或个人，一般采取社会调查的方式。</w:t>
            </w:r>
          </w:p>
        </w:tc>
        <w:tc>
          <w:tcPr>
            <w:tcW w:w="637" w:type="dxa"/>
            <w:vAlign w:val="center"/>
          </w:tcPr>
          <w:p>
            <w:pPr>
              <w:spacing w:line="260" w:lineRule="exact"/>
              <w:jc w:val="center"/>
              <w:rPr>
                <w:rFonts w:eastAsiaTheme="majorEastAsia"/>
                <w:sz w:val="20"/>
                <w:szCs w:val="20"/>
              </w:rPr>
            </w:pPr>
            <w:r>
              <w:rPr>
                <w:rFonts w:hint="eastAsia" w:eastAsiaTheme="majorEastAsia"/>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6" w:type="dxa"/>
            <w:gridSpan w:val="3"/>
            <w:vAlign w:val="center"/>
          </w:tcPr>
          <w:p>
            <w:pPr>
              <w:spacing w:line="260" w:lineRule="exact"/>
              <w:jc w:val="center"/>
              <w:rPr>
                <w:rFonts w:eastAsiaTheme="majorEastAsia"/>
                <w:bCs/>
                <w:sz w:val="20"/>
                <w:szCs w:val="20"/>
              </w:rPr>
            </w:pPr>
            <w:r>
              <w:rPr>
                <w:rFonts w:eastAsiaTheme="majorEastAsia"/>
                <w:sz w:val="20"/>
                <w:szCs w:val="20"/>
              </w:rPr>
              <w:t>合计</w:t>
            </w:r>
          </w:p>
        </w:tc>
        <w:tc>
          <w:tcPr>
            <w:tcW w:w="662" w:type="dxa"/>
            <w:vAlign w:val="center"/>
          </w:tcPr>
          <w:p>
            <w:pPr>
              <w:spacing w:line="260" w:lineRule="exact"/>
              <w:jc w:val="center"/>
              <w:rPr>
                <w:rFonts w:eastAsiaTheme="majorEastAsia"/>
                <w:sz w:val="20"/>
                <w:szCs w:val="20"/>
              </w:rPr>
            </w:pPr>
            <w:r>
              <w:rPr>
                <w:rFonts w:eastAsiaTheme="majorEastAsia"/>
                <w:sz w:val="20"/>
                <w:szCs w:val="20"/>
              </w:rPr>
              <w:t>100</w:t>
            </w:r>
          </w:p>
        </w:tc>
        <w:tc>
          <w:tcPr>
            <w:tcW w:w="992" w:type="dxa"/>
            <w:vAlign w:val="center"/>
          </w:tcPr>
          <w:p>
            <w:pPr>
              <w:spacing w:line="260" w:lineRule="exact"/>
              <w:rPr>
                <w:rFonts w:eastAsiaTheme="majorEastAsia"/>
                <w:sz w:val="20"/>
                <w:szCs w:val="20"/>
              </w:rPr>
            </w:pPr>
          </w:p>
        </w:tc>
        <w:tc>
          <w:tcPr>
            <w:tcW w:w="600" w:type="dxa"/>
            <w:vAlign w:val="center"/>
          </w:tcPr>
          <w:p>
            <w:pPr>
              <w:spacing w:line="260" w:lineRule="exact"/>
              <w:jc w:val="center"/>
              <w:rPr>
                <w:rFonts w:eastAsiaTheme="majorEastAsia"/>
                <w:sz w:val="20"/>
                <w:szCs w:val="20"/>
              </w:rPr>
            </w:pPr>
            <w:r>
              <w:rPr>
                <w:rFonts w:eastAsiaTheme="majorEastAsia"/>
                <w:sz w:val="20"/>
                <w:szCs w:val="20"/>
              </w:rPr>
              <w:t>100</w:t>
            </w:r>
          </w:p>
        </w:tc>
        <w:tc>
          <w:tcPr>
            <w:tcW w:w="6147" w:type="dxa"/>
            <w:gridSpan w:val="2"/>
            <w:vAlign w:val="center"/>
          </w:tcPr>
          <w:p>
            <w:pPr>
              <w:spacing w:line="260" w:lineRule="exact"/>
              <w:rPr>
                <w:rFonts w:eastAsiaTheme="majorEastAsia"/>
                <w:sz w:val="20"/>
                <w:szCs w:val="20"/>
              </w:rPr>
            </w:pPr>
          </w:p>
        </w:tc>
        <w:tc>
          <w:tcPr>
            <w:tcW w:w="637" w:type="dxa"/>
            <w:vAlign w:val="center"/>
          </w:tcPr>
          <w:p>
            <w:pPr>
              <w:spacing w:line="260" w:lineRule="exact"/>
              <w:jc w:val="center"/>
              <w:rPr>
                <w:rFonts w:eastAsiaTheme="majorEastAsia"/>
                <w:sz w:val="20"/>
                <w:szCs w:val="20"/>
              </w:rPr>
            </w:pPr>
            <w:r>
              <w:rPr>
                <w:rFonts w:eastAsiaTheme="majorEastAsia"/>
                <w:sz w:val="20"/>
                <w:szCs w:val="20"/>
              </w:rPr>
              <w:t>9</w:t>
            </w:r>
            <w:r>
              <w:rPr>
                <w:rFonts w:hint="eastAsia" w:eastAsiaTheme="majorEastAsia"/>
                <w:sz w:val="20"/>
                <w:szCs w:val="20"/>
              </w:rPr>
              <w:t>3</w:t>
            </w:r>
            <w:r>
              <w:rPr>
                <w:rFonts w:eastAsiaTheme="majorEastAsia"/>
                <w:sz w:val="20"/>
                <w:szCs w:val="20"/>
              </w:rPr>
              <w:t>.5</w:t>
            </w:r>
          </w:p>
        </w:tc>
      </w:tr>
    </w:tbl>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rPr>
          <w:rFonts w:eastAsia="黑体"/>
          <w:sz w:val="32"/>
          <w:szCs w:val="32"/>
        </w:rPr>
      </w:pPr>
      <w:r>
        <w:rPr>
          <w:rFonts w:eastAsia="黑体"/>
          <w:sz w:val="32"/>
          <w:szCs w:val="32"/>
        </w:rPr>
        <w:t>附件</w:t>
      </w:r>
      <w:r>
        <w:rPr>
          <w:rFonts w:hint="eastAsia" w:eastAsia="黑体"/>
          <w:sz w:val="32"/>
          <w:szCs w:val="32"/>
        </w:rPr>
        <w:t>2：</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整体支出绩效评价基础数据表</w:t>
      </w:r>
    </w:p>
    <w:tbl>
      <w:tblPr>
        <w:tblStyle w:val="8"/>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306"/>
        <w:gridCol w:w="93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2020年末编制数</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2021年末实际在职人数</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lang w:val="en-US" w:eastAsia="zh-CN"/>
              </w:rPr>
            </w:pPr>
            <w:r>
              <w:rPr>
                <w:rFonts w:hint="eastAsia" w:ascii="仿宋_GB2312" w:hAnsi="仿宋" w:eastAsia="仿宋_GB2312" w:cs="仿宋"/>
                <w:lang w:val="en-US" w:eastAsia="zh-CN"/>
              </w:rPr>
              <w:t>54</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仿宋_GB2312" w:hAnsi="仿宋" w:eastAsia="仿宋_GB2312" w:cs="仿宋"/>
                <w:lang w:val="en-US" w:eastAsia="zh-CN"/>
              </w:rPr>
            </w:pPr>
            <w:r>
              <w:rPr>
                <w:rFonts w:hint="eastAsia" w:ascii="仿宋_GB2312" w:hAnsi="仿宋" w:eastAsia="仿宋_GB2312" w:cs="仿宋"/>
                <w:lang w:val="en-US" w:eastAsia="zh-CN"/>
              </w:rPr>
              <w:t>63</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lang w:val="en-US" w:eastAsia="zh-CN"/>
              </w:rPr>
              <w:t>86</w:t>
            </w:r>
            <w:r>
              <w:rPr>
                <w:rFonts w:hint="eastAsia" w:ascii="仿宋_GB2312" w:hAnsi="仿宋" w:eastAsia="仿宋_GB2312" w:cs="仿宋"/>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2020年决算数</w:t>
            </w:r>
          </w:p>
          <w:p>
            <w:pPr>
              <w:spacing w:line="300" w:lineRule="exact"/>
              <w:jc w:val="center"/>
              <w:rPr>
                <w:rFonts w:ascii="仿宋_GB2312" w:hAnsi="仿宋" w:eastAsia="仿宋_GB2312" w:cs="仿宋"/>
              </w:rPr>
            </w:pPr>
            <w:r>
              <w:rPr>
                <w:rFonts w:hint="eastAsia" w:ascii="仿宋_GB2312" w:hAnsi="仿宋" w:eastAsia="仿宋_GB2312" w:cs="仿宋"/>
              </w:rPr>
              <w:t>（万元）</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2021年预算数</w:t>
            </w:r>
          </w:p>
          <w:p>
            <w:pPr>
              <w:spacing w:line="300" w:lineRule="exact"/>
              <w:jc w:val="center"/>
              <w:rPr>
                <w:rFonts w:ascii="仿宋_GB2312" w:hAnsi="仿宋" w:eastAsia="仿宋_GB2312" w:cs="仿宋"/>
              </w:rPr>
            </w:pPr>
            <w:r>
              <w:rPr>
                <w:rFonts w:hint="eastAsia" w:ascii="仿宋_GB2312" w:hAnsi="仿宋" w:eastAsia="仿宋_GB2312" w:cs="仿宋"/>
              </w:rPr>
              <w:t>（万元）</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2021年决算数</w:t>
            </w:r>
          </w:p>
          <w:p>
            <w:pPr>
              <w:spacing w:line="300" w:lineRule="exact"/>
              <w:jc w:val="center"/>
              <w:rPr>
                <w:rFonts w:ascii="仿宋_GB2312" w:hAnsi="仿宋" w:eastAsia="仿宋_GB2312" w:cs="仿宋"/>
              </w:rPr>
            </w:pPr>
            <w:r>
              <w:rPr>
                <w:rFonts w:hint="eastAsia" w:ascii="仿宋_GB2312" w:hAnsi="仿宋" w:eastAsia="仿宋_GB2312"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三公经费</w:t>
            </w:r>
          </w:p>
        </w:tc>
        <w:tc>
          <w:tcPr>
            <w:tcW w:w="2038" w:type="dxa"/>
            <w:gridSpan w:val="2"/>
            <w:tcBorders>
              <w:top w:val="single" w:color="auto" w:sz="4" w:space="0"/>
              <w:left w:val="nil"/>
              <w:bottom w:val="single" w:color="auto" w:sz="4" w:space="0"/>
              <w:right w:val="single" w:color="auto" w:sz="4" w:space="0"/>
            </w:tcBorders>
            <w:vAlign w:val="center"/>
          </w:tcPr>
          <w:p>
            <w:pPr>
              <w:tabs>
                <w:tab w:val="left" w:pos="425"/>
              </w:tabs>
              <w:spacing w:line="300" w:lineRule="exact"/>
              <w:jc w:val="center"/>
              <w:rPr>
                <w:rFonts w:ascii="仿宋_GB2312" w:hAnsi="仿宋" w:eastAsia="仿宋_GB2312" w:cs="仿宋"/>
              </w:rPr>
            </w:pPr>
            <w:r>
              <w:rPr>
                <w:rFonts w:hint="eastAsia" w:ascii="仿宋_GB2312" w:hAnsi="仿宋" w:eastAsia="仿宋_GB2312" w:cs="仿宋"/>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9.00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ascii="仿宋_GB2312" w:hAnsi="仿宋" w:eastAsia="仿宋_GB2312" w:cs="仿宋"/>
                <w:color w:val="auto"/>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1、公务用车购置和运行维护费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其中：公务用车购置费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公务用车运行维护费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6.00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2、因公出国（境）费用</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3、公务接待费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3.00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ascii="仿宋_GB2312" w:hAnsi="仿宋" w:eastAsia="仿宋_GB2312" w:cs="仿宋"/>
                <w:color w:val="auto"/>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项目支出：</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630" w:firstLineChars="300"/>
              <w:rPr>
                <w:rFonts w:ascii="仿宋_GB2312" w:hAnsi="仿宋" w:eastAsia="仿宋_GB2312" w:cs="仿宋"/>
              </w:rPr>
            </w:pPr>
            <w:r>
              <w:rPr>
                <w:rFonts w:hint="eastAsia" w:ascii="仿宋_GB2312" w:hAnsi="仿宋" w:eastAsia="仿宋_GB2312" w:cs="仿宋"/>
              </w:rPr>
              <w:t>专项业务（工作）经费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410.00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公用经费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ascii="仿宋_GB2312" w:hAnsi="仿宋" w:eastAsia="仿宋_GB2312" w:cs="仿宋"/>
                <w:color w:val="auto"/>
              </w:rPr>
              <w:t>518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ascii="仿宋_GB2312" w:hAnsi="仿宋" w:eastAsia="仿宋_GB2312" w:cs="仿宋"/>
                <w:color w:val="auto"/>
              </w:rPr>
              <w:t>872</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602.17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32.70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16.91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水费、电费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17.36</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rPr>
            </w:pPr>
            <w:r>
              <w:rPr>
                <w:rFonts w:hint="eastAsia" w:ascii="仿宋_GB2312" w:hAnsi="仿宋" w:eastAsia="仿宋_GB2312" w:cs="仿宋"/>
              </w:rPr>
              <w:t>差旅费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16.88</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13.87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xml:space="preserve">          会议费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0.00</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1050" w:firstLineChars="500"/>
              <w:rPr>
                <w:rFonts w:ascii="仿宋_GB2312" w:hAnsi="仿宋" w:eastAsia="仿宋_GB2312" w:cs="仿宋"/>
              </w:rPr>
            </w:pPr>
            <w:r>
              <w:rPr>
                <w:rFonts w:hint="eastAsia" w:ascii="仿宋_GB2312" w:hAnsi="仿宋" w:eastAsia="仿宋_GB2312" w:cs="仿宋"/>
              </w:rPr>
              <w:t>培训费</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1.02</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32.02</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130.00</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color w:val="auto"/>
              </w:rPr>
            </w:pPr>
            <w:r>
              <w:rPr>
                <w:rFonts w:hint="eastAsia" w:ascii="仿宋_GB2312" w:hAnsi="仿宋" w:eastAsia="仿宋_GB2312" w:cs="仿宋"/>
                <w:color w:val="auto"/>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部门基本支出预算调整</w:t>
            </w:r>
          </w:p>
        </w:tc>
        <w:tc>
          <w:tcPr>
            <w:tcW w:w="2038"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color w:val="auto"/>
              </w:rPr>
              <w:t>6</w:t>
            </w:r>
            <w:r>
              <w:rPr>
                <w:rFonts w:ascii="仿宋_GB2312" w:hAnsi="仿宋" w:eastAsia="仿宋_GB2312" w:cs="仿宋"/>
                <w:color w:val="auto"/>
              </w:rPr>
              <w:t>78.22</w:t>
            </w:r>
          </w:p>
        </w:tc>
        <w:tc>
          <w:tcPr>
            <w:tcW w:w="243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5</w:t>
            </w:r>
            <w:r>
              <w:rPr>
                <w:rFonts w:ascii="仿宋_GB2312" w:hAnsi="仿宋" w:eastAsia="仿宋_GB2312" w:cs="仿宋"/>
              </w:rPr>
              <w:t>05.12</w:t>
            </w:r>
          </w:p>
        </w:tc>
        <w:tc>
          <w:tcPr>
            <w:tcW w:w="1806"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5</w:t>
            </w:r>
            <w:r>
              <w:rPr>
                <w:rFonts w:ascii="仿宋_GB2312" w:hAnsi="仿宋" w:eastAsia="仿宋_GB2312" w:cs="仿宋"/>
              </w:rPr>
              <w:t>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楼堂馆所控制情况</w:t>
            </w:r>
          </w:p>
          <w:p>
            <w:pPr>
              <w:spacing w:line="300" w:lineRule="exact"/>
              <w:jc w:val="center"/>
              <w:rPr>
                <w:rFonts w:ascii="仿宋_GB2312" w:hAnsi="仿宋" w:eastAsia="仿宋_GB2312" w:cs="仿宋"/>
              </w:rPr>
            </w:pPr>
            <w:r>
              <w:rPr>
                <w:rFonts w:hint="eastAsia" w:ascii="仿宋_GB2312" w:hAnsi="仿宋" w:eastAsia="仿宋_GB2312" w:cs="仿宋"/>
              </w:rPr>
              <w:t>（2021年完工项目）</w:t>
            </w:r>
          </w:p>
        </w:tc>
        <w:tc>
          <w:tcPr>
            <w:tcW w:w="11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批复规模</w:t>
            </w:r>
          </w:p>
          <w:p>
            <w:pPr>
              <w:spacing w:line="300" w:lineRule="exact"/>
              <w:jc w:val="center"/>
              <w:rPr>
                <w:rFonts w:ascii="仿宋_GB2312" w:hAnsi="仿宋" w:eastAsia="仿宋_GB2312" w:cs="仿宋"/>
              </w:rPr>
            </w:pPr>
            <w:r>
              <w:rPr>
                <w:rFonts w:hint="eastAsia" w:ascii="仿宋_GB2312" w:hAnsi="仿宋" w:eastAsia="仿宋_GB2312" w:cs="仿宋"/>
              </w:rPr>
              <w:t>（㎡）</w:t>
            </w:r>
          </w:p>
        </w:tc>
        <w:tc>
          <w:tcPr>
            <w:tcW w:w="84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实际规模（㎡）</w:t>
            </w:r>
          </w:p>
        </w:tc>
        <w:tc>
          <w:tcPr>
            <w:tcW w:w="112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规模控制率</w:t>
            </w:r>
          </w:p>
        </w:tc>
        <w:tc>
          <w:tcPr>
            <w:tcW w:w="130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预算投资（万元）</w:t>
            </w:r>
          </w:p>
        </w:tc>
        <w:tc>
          <w:tcPr>
            <w:tcW w:w="93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实际投资（万元）</w:t>
            </w:r>
          </w:p>
        </w:tc>
        <w:tc>
          <w:tcPr>
            <w:tcW w:w="867"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rPr>
            </w:pPr>
          </w:p>
        </w:tc>
        <w:tc>
          <w:tcPr>
            <w:tcW w:w="118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　</w:t>
            </w:r>
          </w:p>
        </w:tc>
        <w:tc>
          <w:tcPr>
            <w:tcW w:w="849"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w:t>
            </w:r>
          </w:p>
        </w:tc>
        <w:tc>
          <w:tcPr>
            <w:tcW w:w="1129"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r>
              <w:rPr>
                <w:rFonts w:hint="eastAsia" w:ascii="仿宋_GB2312" w:hAnsi="仿宋" w:eastAsia="仿宋_GB2312" w:cs="仿宋"/>
              </w:rPr>
              <w:t>　</w:t>
            </w:r>
          </w:p>
        </w:tc>
        <w:tc>
          <w:tcPr>
            <w:tcW w:w="1306"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p>
        </w:tc>
        <w:tc>
          <w:tcPr>
            <w:tcW w:w="939"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p>
        </w:tc>
        <w:tc>
          <w:tcPr>
            <w:tcW w:w="867" w:type="dxa"/>
            <w:tcBorders>
              <w:top w:val="single" w:color="auto" w:sz="4" w:space="0"/>
              <w:left w:val="nil"/>
              <w:bottom w:val="single" w:color="auto" w:sz="4" w:space="0"/>
              <w:right w:val="single" w:color="auto" w:sz="4" w:space="0"/>
            </w:tcBorders>
            <w:vAlign w:val="center"/>
          </w:tcPr>
          <w:p>
            <w:pPr>
              <w:spacing w:line="300" w:lineRule="exact"/>
              <w:rPr>
                <w:rFonts w:ascii="仿宋_GB2312" w:hAnsi="仿宋" w:eastAsia="仿宋_GB2312"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厉行节约保障措施</w:t>
            </w:r>
          </w:p>
        </w:tc>
        <w:tc>
          <w:tcPr>
            <w:tcW w:w="6279" w:type="dxa"/>
            <w:gridSpan w:val="6"/>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 w:eastAsia="仿宋_GB2312" w:cs="仿宋"/>
              </w:rPr>
            </w:pPr>
            <w:r>
              <w:rPr>
                <w:rFonts w:hint="eastAsia" w:ascii="仿宋_GB2312" w:hAnsi="仿宋" w:eastAsia="仿宋_GB2312" w:cs="仿宋"/>
              </w:rPr>
              <w:t>　</w:t>
            </w:r>
          </w:p>
        </w:tc>
      </w:tr>
    </w:tbl>
    <w:p>
      <w:pPr>
        <w:spacing w:line="360" w:lineRule="exact"/>
        <w:rPr>
          <w:rFonts w:eastAsia="仿宋_GB2312"/>
          <w:sz w:val="24"/>
        </w:rPr>
      </w:pPr>
      <w:r>
        <w:rPr>
          <w:rFonts w:eastAsia="仿宋_GB2312"/>
          <w:sz w:val="24"/>
        </w:rPr>
        <w:t>单位负责人签字：</w:t>
      </w:r>
      <w:r>
        <w:rPr>
          <w:rFonts w:hint="eastAsia" w:eastAsia="仿宋_GB2312"/>
          <w:sz w:val="24"/>
        </w:rPr>
        <w:t xml:space="preserve">      </w:t>
      </w:r>
      <w:r>
        <w:rPr>
          <w:rFonts w:eastAsia="仿宋_GB2312"/>
          <w:sz w:val="24"/>
        </w:rPr>
        <w:t>填表人：     联系电话：</w:t>
      </w:r>
      <w:r>
        <w:rPr>
          <w:rFonts w:hint="eastAsia" w:eastAsia="仿宋_GB2312"/>
          <w:sz w:val="24"/>
        </w:rPr>
        <w:t xml:space="preserve">       </w:t>
      </w:r>
      <w:r>
        <w:rPr>
          <w:rFonts w:eastAsia="仿宋_GB2312"/>
          <w:sz w:val="24"/>
        </w:rPr>
        <w:t xml:space="preserve">填报日期： </w:t>
      </w:r>
      <w:r>
        <w:rPr>
          <w:rFonts w:hint="eastAsia" w:eastAsia="仿宋_GB2312"/>
          <w:sz w:val="24"/>
        </w:rPr>
        <w:t>年  月  日</w:t>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pStyle w:val="2"/>
      </w:pPr>
    </w:p>
    <w:p>
      <w:pPr>
        <w:pStyle w:val="3"/>
      </w:pPr>
    </w:p>
    <w:p>
      <w:pPr>
        <w:spacing w:afterLines="50"/>
        <w:rPr>
          <w:rFonts w:ascii="Times New Roman" w:hAnsi="Times New Roman" w:eastAsia="黑体" w:cs="Times New Roman"/>
          <w:sz w:val="32"/>
          <w:szCs w:val="32"/>
        </w:rPr>
      </w:pPr>
    </w:p>
    <w:p>
      <w:pPr>
        <w:spacing w:afterLines="50"/>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spacing w:afterLines="50"/>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部门整体支出绩效自评表</w:t>
      </w:r>
    </w:p>
    <w:p>
      <w:pPr>
        <w:pStyle w:val="2"/>
        <w:jc w:val="right"/>
        <w:rPr>
          <w:rFonts w:eastAsia="方正小标宋_GBK"/>
        </w:rPr>
      </w:pPr>
      <w:r>
        <w:rPr>
          <w:rFonts w:hint="eastAsia" w:eastAsia="方正小标宋_GBK"/>
        </w:rPr>
        <w:t xml:space="preserve"> 单位：万元</w:t>
      </w:r>
    </w:p>
    <w:tbl>
      <w:tblPr>
        <w:tblStyle w:val="8"/>
        <w:tblW w:w="10079" w:type="dxa"/>
        <w:jc w:val="center"/>
        <w:tblLayout w:type="autofit"/>
        <w:tblCellMar>
          <w:top w:w="0" w:type="dxa"/>
          <w:left w:w="108" w:type="dxa"/>
          <w:bottom w:w="0" w:type="dxa"/>
          <w:right w:w="108" w:type="dxa"/>
        </w:tblCellMar>
      </w:tblPr>
      <w:tblGrid>
        <w:gridCol w:w="1080"/>
        <w:gridCol w:w="1080"/>
        <w:gridCol w:w="788"/>
        <w:gridCol w:w="1421"/>
        <w:gridCol w:w="439"/>
        <w:gridCol w:w="967"/>
        <w:gridCol w:w="1269"/>
        <w:gridCol w:w="716"/>
        <w:gridCol w:w="167"/>
        <w:gridCol w:w="714"/>
        <w:gridCol w:w="143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市直</w:t>
            </w:r>
            <w:r>
              <w:rPr>
                <w:rFonts w:ascii="Times New Roman" w:hAnsi="Times New Roman" w:eastAsia="仿宋_GB2312" w:cs="Times New Roman"/>
                <w:sz w:val="20"/>
                <w:szCs w:val="20"/>
              </w:rPr>
              <w:t>预算部门名称</w:t>
            </w:r>
          </w:p>
        </w:tc>
        <w:tc>
          <w:tcPr>
            <w:tcW w:w="899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怀化市公共资源交易中心</w:t>
            </w:r>
          </w:p>
        </w:tc>
      </w:tr>
      <w:tr>
        <w:tblPrEx>
          <w:tblCellMar>
            <w:top w:w="0" w:type="dxa"/>
            <w:left w:w="108" w:type="dxa"/>
            <w:bottom w:w="0" w:type="dxa"/>
            <w:right w:w="108" w:type="dxa"/>
          </w:tblCellMar>
        </w:tblPrEx>
        <w:trPr>
          <w:trHeight w:val="215"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年度预</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算申请</w:t>
            </w:r>
            <w:r>
              <w:rPr>
                <w:rFonts w:ascii="Times New Roman" w:hAnsi="Times New Roman" w:eastAsia="仿宋_GB2312" w:cs="Times New Roman"/>
                <w:sz w:val="20"/>
                <w:szCs w:val="20"/>
              </w:rPr>
              <w:br w:type="textWrapping"/>
            </w:r>
            <w:r>
              <w:rPr>
                <w:rFonts w:ascii="Times New Roman" w:hAnsi="Times New Roman" w:eastAsia="仿宋_GB2312" w:cs="Times New Roman"/>
                <w:sz w:val="20"/>
                <w:szCs w:val="20"/>
              </w:rPr>
              <w:t>（万元）</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年初预算数</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全年预算数</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全年执行数</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执行率</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年度资金总额</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1983</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1477.88</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1477.88</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r>
      <w:tr>
        <w:tblPrEx>
          <w:tblCellMar>
            <w:top w:w="0" w:type="dxa"/>
            <w:left w:w="108" w:type="dxa"/>
            <w:bottom w:w="0" w:type="dxa"/>
            <w:right w:w="108" w:type="dxa"/>
          </w:tblCellMar>
        </w:tblPrEx>
        <w:trPr>
          <w:trHeight w:val="21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469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按收入性质分：</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xml:space="preserve">  其中：  一般公共预算：</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1477.88</w:t>
            </w: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其中：基本支出：</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1477.88</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800" w:firstLineChars="400"/>
              <w:rPr>
                <w:rFonts w:ascii="Times New Roman" w:hAnsi="Times New Roman" w:eastAsia="仿宋_GB2312" w:cs="Times New Roman"/>
                <w:sz w:val="20"/>
                <w:szCs w:val="20"/>
              </w:rPr>
            </w:pPr>
            <w:r>
              <w:rPr>
                <w:rFonts w:ascii="Times New Roman" w:hAnsi="Times New Roman" w:eastAsia="仿宋_GB2312" w:cs="Times New Roman"/>
                <w:sz w:val="20"/>
                <w:szCs w:val="20"/>
              </w:rPr>
              <w:t>政府性基金拨款：</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800" w:firstLineChars="400"/>
              <w:rPr>
                <w:rFonts w:ascii="Times New Roman" w:hAnsi="Times New Roman" w:eastAsia="仿宋_GB2312" w:cs="Times New Roman"/>
                <w:sz w:val="20"/>
                <w:szCs w:val="20"/>
              </w:rPr>
            </w:pP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600" w:firstLineChars="300"/>
              <w:rPr>
                <w:rFonts w:ascii="Times New Roman" w:hAnsi="Times New Roman" w:eastAsia="仿宋_GB2312" w:cs="Times New Roman"/>
                <w:sz w:val="20"/>
                <w:szCs w:val="20"/>
              </w:rPr>
            </w:pPr>
            <w:r>
              <w:rPr>
                <w:rFonts w:ascii="Times New Roman" w:hAnsi="Times New Roman" w:eastAsia="仿宋_GB2312" w:cs="Times New Roman"/>
                <w:sz w:val="20"/>
                <w:szCs w:val="20"/>
              </w:rPr>
              <w:t>项目支出：</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0.00</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纳入专户管理的非税收入拨款：</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328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1400" w:firstLineChars="700"/>
              <w:rPr>
                <w:rFonts w:ascii="Times New Roman" w:hAnsi="Times New Roman" w:eastAsia="仿宋_GB2312" w:cs="Times New Roman"/>
                <w:sz w:val="20"/>
                <w:szCs w:val="20"/>
              </w:rPr>
            </w:pPr>
            <w:r>
              <w:rPr>
                <w:rFonts w:ascii="Times New Roman" w:hAnsi="Times New Roman" w:eastAsia="仿宋_GB2312" w:cs="Times New Roman"/>
                <w:sz w:val="20"/>
                <w:szCs w:val="20"/>
              </w:rPr>
              <w:t>其他资金：</w:t>
            </w:r>
          </w:p>
        </w:tc>
        <w:tc>
          <w:tcPr>
            <w:tcW w:w="140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1400" w:firstLineChars="700"/>
              <w:rPr>
                <w:rFonts w:ascii="Times New Roman" w:hAnsi="Times New Roman" w:eastAsia="仿宋_GB2312" w:cs="Times New Roman"/>
                <w:sz w:val="20"/>
                <w:szCs w:val="20"/>
              </w:rPr>
            </w:pPr>
          </w:p>
        </w:tc>
        <w:tc>
          <w:tcPr>
            <w:tcW w:w="21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年度总体目标</w:t>
            </w:r>
          </w:p>
        </w:tc>
        <w:tc>
          <w:tcPr>
            <w:tcW w:w="469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预期目标</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实际完成情况　</w:t>
            </w:r>
          </w:p>
        </w:tc>
      </w:tr>
      <w:tr>
        <w:tblPrEx>
          <w:tblCellMar>
            <w:top w:w="0" w:type="dxa"/>
            <w:left w:w="108" w:type="dxa"/>
            <w:bottom w:w="0" w:type="dxa"/>
            <w:right w:w="108" w:type="dxa"/>
          </w:tblCellMar>
        </w:tblPrEx>
        <w:trPr>
          <w:trHeight w:val="246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469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（1）宣传和贯彻落实国家、省、市公共资源交易有关法律、法规和政策。</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（2）负责市级公共资源交易平台及信息网络系统建设、运行、管理；依法依规为全市各类公共资源交易活动提供场所、设施和服务；在相关部门监督下，承担评标专家抽取有关工作。</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（3）会同有关部门研究制定公共资源进场交易的技术标准、交易流程、操作流程和现场管理制度；为电子交易和监管系统提供对接服务。</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（4）依法对交易各方、中介机构的进场交易资格进行核验，对交易人进行登记；组织平台内的交易活动，维护交易现场秩序。</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负责收集、存储和发布各类公共资源交易信息；记录、整理、保存交易过程中相关资料（含录音录像资料）；开展公共资源交易活动情况统计、分析；依托统一的社会信用代码建立公共资源交易市场主体信用信息库，为交易各方主体、社会公众及行政监管部门提供信息咨询服务。</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6）为行业监管、行政监察提供平台服务，协助配合行政监督部门、纪检监察机关的执法工作；对参与平台内交易活动的相关人员、机构活动进行评估；记录、留存违反交易现场管理制度行为的证据资料，及时报告公共资源交易活动中的违法违规行为并协助进行调查处理。</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（7）完成市委、市政府和市公共资源交易管理委员会交办的其他事项。（8）其他工作任务等。</w:t>
            </w:r>
            <w:r>
              <w:rPr>
                <w:rFonts w:ascii="Times New Roman" w:hAnsi="Times New Roman" w:eastAsia="仿宋_GB2312" w:cs="Times New Roman"/>
                <w:sz w:val="20"/>
                <w:szCs w:val="20"/>
              </w:rPr>
              <w:t>　　</w:t>
            </w:r>
          </w:p>
        </w:tc>
        <w:tc>
          <w:tcPr>
            <w:tcW w:w="4304"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1、全年开展党组理论学习中心组学习13次，干部职工大会集体学习15次。</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2、深入开展结对帮扶走访慰问和“微心愿”活动，为8户生活困难群众解决实际困难。</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积极推进乡村振兴。</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3、召开专题会议研究乡村振兴工作3次，召开2次联席会议，党员干部赴村走访慰问6次。为帮扶村提供产业项目资金13万元，先后成立了花卉苗木、杨梅产业和竹木、竹笋合作社。</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4、以高质量公共资源交易助力营商环境优化</w:t>
            </w:r>
          </w:p>
          <w:p>
            <w:pPr>
              <w:spacing w:line="240" w:lineRule="exact"/>
            </w:pPr>
            <w:r>
              <w:rPr>
                <w:rFonts w:hint="eastAsia" w:ascii="Times New Roman" w:hAnsi="Times New Roman" w:eastAsia="仿宋_GB2312" w:cs="Times New Roman"/>
                <w:sz w:val="20"/>
                <w:szCs w:val="20"/>
              </w:rPr>
              <w:t>截止2021年12月31日，市交易中心完成进场交易量1161宗，同比下降15.01%，交易额204.6575亿元，同比上升6.05%，节约金额6.541亿元，增收金额0.0538亿元，交易总量稳中有进。</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绩</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效</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标</w:t>
            </w:r>
          </w:p>
          <w:p>
            <w:pPr>
              <w:spacing w:line="240" w:lineRule="exact"/>
              <w:jc w:val="center"/>
              <w:rPr>
                <w:rFonts w:ascii="Times New Roman" w:hAnsi="Times New Roman" w:eastAsia="仿宋_GB2312" w:cs="Times New Roman"/>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一级指标</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二级指标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三级指标</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imes New Roman" w:hAnsi="Times New Roman" w:eastAsia="仿宋_GB2312" w:cs="Times New Roman"/>
                <w:sz w:val="20"/>
                <w:szCs w:val="20"/>
              </w:rPr>
            </w:pPr>
            <w:r>
              <w:rPr>
                <w:rFonts w:ascii="Times New Roman" w:hAnsi="Times New Roman" w:eastAsia="仿宋_GB2312" w:cs="Times New Roman"/>
                <w:sz w:val="20"/>
                <w:szCs w:val="20"/>
              </w:rPr>
              <w:t>年度指标值</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实际完成值</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分值</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得分</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imes New Roman" w:hAnsi="Times New Roman" w:eastAsia="仿宋_GB2312" w:cs="Times New Roman"/>
                <w:sz w:val="20"/>
                <w:szCs w:val="20"/>
              </w:rPr>
            </w:pPr>
            <w:r>
              <w:rPr>
                <w:rFonts w:ascii="Times New Roman" w:hAnsi="Times New Roman" w:eastAsia="仿宋_GB2312" w:cs="Times New Roman"/>
                <w:sz w:val="20"/>
                <w:szCs w:val="20"/>
              </w:rPr>
              <w:t>偏差原因分析及改进措施</w:t>
            </w:r>
          </w:p>
        </w:tc>
      </w:tr>
      <w:tr>
        <w:tblPrEx>
          <w:tblCellMar>
            <w:top w:w="0" w:type="dxa"/>
            <w:left w:w="108" w:type="dxa"/>
            <w:bottom w:w="0" w:type="dxa"/>
            <w:right w:w="108" w:type="dxa"/>
          </w:tblCellMar>
        </w:tblPrEx>
        <w:trPr>
          <w:trHeight w:val="89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产出指标</w:t>
            </w:r>
          </w:p>
          <w:p>
            <w:pPr>
              <w:spacing w:line="240" w:lineRule="exact"/>
              <w:jc w:val="center"/>
              <w:rPr>
                <w:rFonts w:ascii="Times New Roman" w:hAnsi="Times New Roman" w:eastAsia="仿宋_GB2312" w:cs="Times New Roman"/>
                <w:sz w:val="20"/>
                <w:szCs w:val="20"/>
              </w:rPr>
            </w:pP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(50分)</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数量指标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开展党组织会议学习</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12次</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13次</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53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市交易中心完成进场交易量</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1000宗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1161宗</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质量指标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质量达标率质量达标率=（质量达标实际工作数/计划工作数）*100%。质量达标实际工作数：一定时期（年度或规划期）内部门实际完成工作数中达到部门绩效目标要求的工作任务数量。</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时效指标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完成及时性。</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 xml:space="preserve">项目实际完成时间与计划完成时间的比较，用以反映和考核项目产出时效目标的实现程度。 </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成本指标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成本节约率。</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完成项目计划工作目标的实际节约成本与计划成本的比率，用以反映和考核项目的成本节约程度。成本节约率=【(计划成本-实际成本）/计划成本】*100%。</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宋体" w:hAnsi="宋体" w:cs="宋体"/>
                <w:sz w:val="18"/>
                <w:szCs w:val="18"/>
              </w:rPr>
              <w:t>≥5%</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5%</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效益指标</w:t>
            </w:r>
          </w:p>
          <w:p>
            <w:pPr>
              <w:spacing w:line="240" w:lineRule="exact"/>
              <w:rPr>
                <w:rFonts w:ascii="Times New Roman" w:hAnsi="Times New Roman" w:eastAsia="仿宋_GB2312" w:cs="Times New Roman"/>
                <w:sz w:val="20"/>
                <w:szCs w:val="20"/>
              </w:rPr>
            </w:pPr>
          </w:p>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（30分）</w:t>
            </w:r>
          </w:p>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经济效</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益指标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直接或间接促进经济发展。</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社会效</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益指标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项目实施后，能够对社会效益带来间接或直接的影响。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生态效</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益指标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项目实施后，能够对生态环境带来间接或直接的影响。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效果</w:t>
            </w:r>
          </w:p>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显著</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8</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8</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可持续影响指标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项目实施后运行成效发挥情况以及是否持续对社会产生积极影响。</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可持续性</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可持续</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6</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6</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满意度</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指标</w:t>
            </w:r>
          </w:p>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（10分）</w:t>
            </w:r>
          </w:p>
        </w:tc>
        <w:tc>
          <w:tcPr>
            <w:tcW w:w="7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服务对象满意度指标</w:t>
            </w:r>
          </w:p>
        </w:tc>
        <w:tc>
          <w:tcPr>
            <w:tcW w:w="186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指标：服务对象满意度指标</w:t>
            </w:r>
          </w:p>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lang w:val="zh-TW"/>
              </w:rPr>
              <w:t>评分要求：</w:t>
            </w:r>
            <w:r>
              <w:rPr>
                <w:rFonts w:hint="eastAsia" w:ascii="Times New Roman" w:hAnsi="Times New Roman" w:eastAsia="仿宋_GB2312" w:cs="Times New Roman"/>
                <w:sz w:val="20"/>
                <w:szCs w:val="20"/>
                <w:lang w:val="zh-TW" w:eastAsia="zh-TW"/>
              </w:rPr>
              <w:t>采取对项目实施区域内服务受益对象满意度调查方式，满意度≥</w:t>
            </w:r>
            <w:r>
              <w:rPr>
                <w:rFonts w:hint="eastAsia" w:ascii="Times New Roman" w:hAnsi="Times New Roman" w:eastAsia="仿宋_GB2312" w:cs="Times New Roman"/>
                <w:sz w:val="20"/>
                <w:szCs w:val="20"/>
              </w:rPr>
              <w:t>95</w:t>
            </w:r>
            <w:r>
              <w:rPr>
                <w:rFonts w:hint="eastAsia" w:ascii="Times New Roman" w:hAnsi="Times New Roman" w:eastAsia="仿宋_GB2312" w:cs="Times New Roman"/>
                <w:sz w:val="20"/>
                <w:szCs w:val="20"/>
                <w:lang w:val="zh-TW" w:eastAsia="zh-TW"/>
              </w:rPr>
              <w:t>%，计10分，</w:t>
            </w:r>
            <w:r>
              <w:rPr>
                <w:rFonts w:hint="eastAsia" w:ascii="Times New Roman" w:hAnsi="Times New Roman" w:eastAsia="仿宋_GB2312" w:cs="Times New Roman"/>
                <w:sz w:val="20"/>
                <w:szCs w:val="20"/>
                <w:lang w:val="zh-TW"/>
              </w:rPr>
              <w:t>每下降一个百分点，扣1分，扣完为止。</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　</w:t>
            </w:r>
            <w:r>
              <w:rPr>
                <w:rFonts w:hint="eastAsia" w:ascii="Times New Roman" w:hAnsi="Times New Roman" w:eastAsia="仿宋_GB2312" w:cs="Times New Roman"/>
                <w:sz w:val="20"/>
                <w:szCs w:val="20"/>
                <w:lang w:val="zh-TW" w:eastAsia="zh-TW"/>
              </w:rPr>
              <w:t>≥</w:t>
            </w:r>
            <w:r>
              <w:rPr>
                <w:rFonts w:hint="eastAsia" w:ascii="Times New Roman" w:hAnsi="Times New Roman" w:eastAsia="仿宋_GB2312" w:cs="Times New Roman"/>
                <w:sz w:val="20"/>
                <w:szCs w:val="20"/>
              </w:rPr>
              <w:t>95</w:t>
            </w:r>
            <w:r>
              <w:rPr>
                <w:rFonts w:hint="eastAsia" w:ascii="Times New Roman" w:hAnsi="Times New Roman" w:eastAsia="仿宋_GB2312" w:cs="Times New Roman"/>
                <w:sz w:val="20"/>
                <w:szCs w:val="20"/>
                <w:lang w:val="zh-TW" w:eastAsia="zh-TW"/>
              </w:rPr>
              <w:t>%</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10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r>
        <w:tblPrEx>
          <w:tblCellMar>
            <w:top w:w="0" w:type="dxa"/>
            <w:left w:w="108" w:type="dxa"/>
            <w:bottom w:w="0" w:type="dxa"/>
            <w:right w:w="108" w:type="dxa"/>
          </w:tblCellMar>
        </w:tblPrEx>
        <w:trPr>
          <w:trHeight w:val="361" w:hRule="atLeast"/>
          <w:jc w:val="center"/>
        </w:trPr>
        <w:tc>
          <w:tcPr>
            <w:tcW w:w="7044"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总分</w:t>
            </w:r>
          </w:p>
        </w:tc>
        <w:tc>
          <w:tcPr>
            <w:tcW w:w="7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100</w:t>
            </w:r>
          </w:p>
        </w:tc>
        <w:tc>
          <w:tcPr>
            <w:tcW w:w="8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r>
              <w:rPr>
                <w:rFonts w:hint="eastAsia" w:ascii="Times New Roman" w:hAnsi="Times New Roman" w:eastAsia="仿宋_GB2312" w:cs="Times New Roman"/>
                <w:sz w:val="20"/>
                <w:szCs w:val="20"/>
              </w:rPr>
              <w:t>100</w:t>
            </w:r>
          </w:p>
        </w:tc>
        <w:tc>
          <w:tcPr>
            <w:tcW w:w="143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0"/>
                <w:szCs w:val="20"/>
              </w:rPr>
            </w:pPr>
            <w:r>
              <w:rPr>
                <w:rFonts w:ascii="Times New Roman" w:hAnsi="Times New Roman" w:eastAsia="仿宋_GB2312" w:cs="Times New Roman"/>
                <w:sz w:val="20"/>
                <w:szCs w:val="20"/>
              </w:rPr>
              <w:t>　</w:t>
            </w:r>
          </w:p>
        </w:tc>
      </w:tr>
    </w:tbl>
    <w:p>
      <w:r>
        <w:rPr>
          <w:rFonts w:ascii="Times New Roman" w:hAnsi="Times New Roman" w:eastAsia="仿宋_GB2312" w:cs="Times New Roman"/>
          <w:sz w:val="22"/>
          <w:szCs w:val="22"/>
        </w:rPr>
        <w:t>填表人：      填报日期：         联系电话：     单位负责人签字：</w:t>
      </w:r>
    </w:p>
    <w:p>
      <w:pPr>
        <w:spacing w:line="540" w:lineRule="exact"/>
        <w:rPr>
          <w:rFonts w:eastAsia="黑体"/>
          <w:sz w:val="32"/>
          <w:szCs w:val="32"/>
          <w:shd w:val="clear" w:color="auto" w:fill="FFFFFF"/>
        </w:rPr>
      </w:pPr>
    </w:p>
    <w:p>
      <w:pPr>
        <w:tabs>
          <w:tab w:val="left" w:pos="720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60BFC"/>
    <w:multiLevelType w:val="singleLevel"/>
    <w:tmpl w:val="83060BF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wZDExZTVlNGY5YmY4NDUyOTJkOTEwYTBjNzM1ODQifQ=="/>
  </w:docVars>
  <w:rsids>
    <w:rsidRoot w:val="00172A27"/>
    <w:rsid w:val="0016462A"/>
    <w:rsid w:val="00172A27"/>
    <w:rsid w:val="00182D31"/>
    <w:rsid w:val="00227CC7"/>
    <w:rsid w:val="00233DAB"/>
    <w:rsid w:val="00247473"/>
    <w:rsid w:val="00283E75"/>
    <w:rsid w:val="00380B6A"/>
    <w:rsid w:val="003F526C"/>
    <w:rsid w:val="00443C7A"/>
    <w:rsid w:val="00481CC6"/>
    <w:rsid w:val="004E296E"/>
    <w:rsid w:val="00517FB5"/>
    <w:rsid w:val="005D3E00"/>
    <w:rsid w:val="006878CC"/>
    <w:rsid w:val="00743731"/>
    <w:rsid w:val="007C5876"/>
    <w:rsid w:val="0086176A"/>
    <w:rsid w:val="009923B8"/>
    <w:rsid w:val="009935C8"/>
    <w:rsid w:val="009B586D"/>
    <w:rsid w:val="009C2045"/>
    <w:rsid w:val="00B04775"/>
    <w:rsid w:val="00B848C1"/>
    <w:rsid w:val="00B93037"/>
    <w:rsid w:val="00BD2AF8"/>
    <w:rsid w:val="00C4676C"/>
    <w:rsid w:val="00C66B94"/>
    <w:rsid w:val="00DB23AD"/>
    <w:rsid w:val="00E16632"/>
    <w:rsid w:val="00E74AC8"/>
    <w:rsid w:val="00E810A7"/>
    <w:rsid w:val="00E92ACD"/>
    <w:rsid w:val="00EC404F"/>
    <w:rsid w:val="00F86933"/>
    <w:rsid w:val="00FB7EDE"/>
    <w:rsid w:val="00FC0221"/>
    <w:rsid w:val="00FC53DC"/>
    <w:rsid w:val="00FC61EA"/>
    <w:rsid w:val="017D1C31"/>
    <w:rsid w:val="01993D60"/>
    <w:rsid w:val="019D7F9C"/>
    <w:rsid w:val="01C035EF"/>
    <w:rsid w:val="05284910"/>
    <w:rsid w:val="05F74F3C"/>
    <w:rsid w:val="12775366"/>
    <w:rsid w:val="12EE33A1"/>
    <w:rsid w:val="15FB12E8"/>
    <w:rsid w:val="1B4B5C73"/>
    <w:rsid w:val="1E7554E1"/>
    <w:rsid w:val="203318B7"/>
    <w:rsid w:val="21F84F26"/>
    <w:rsid w:val="24453450"/>
    <w:rsid w:val="2A0E67D1"/>
    <w:rsid w:val="2A96716F"/>
    <w:rsid w:val="31B83942"/>
    <w:rsid w:val="334671D3"/>
    <w:rsid w:val="335D7851"/>
    <w:rsid w:val="39C53868"/>
    <w:rsid w:val="3B424545"/>
    <w:rsid w:val="3DCA16C9"/>
    <w:rsid w:val="4C5E5CE7"/>
    <w:rsid w:val="4D790D46"/>
    <w:rsid w:val="50E44F42"/>
    <w:rsid w:val="513D692A"/>
    <w:rsid w:val="52496505"/>
    <w:rsid w:val="538B1854"/>
    <w:rsid w:val="5E964291"/>
    <w:rsid w:val="64104206"/>
    <w:rsid w:val="66F62998"/>
    <w:rsid w:val="6F4C6FEC"/>
    <w:rsid w:val="70095D12"/>
    <w:rsid w:val="75D71168"/>
    <w:rsid w:val="78630A45"/>
    <w:rsid w:val="78992495"/>
    <w:rsid w:val="7A3B31CD"/>
    <w:rsid w:val="7F7A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2"/>
    <w:basedOn w:val="1"/>
    <w:next w:val="1"/>
    <w:qFormat/>
    <w:uiPriority w:val="0"/>
    <w:pPr>
      <w:keepNext/>
      <w:keepLines/>
      <w:spacing w:before="260" w:after="260" w:line="413" w:lineRule="auto"/>
      <w:outlineLvl w:val="1"/>
    </w:pPr>
    <w:rPr>
      <w:rFonts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pPr>
    <w:rPr>
      <w:sz w:val="18"/>
    </w:rPr>
  </w:style>
  <w:style w:type="paragraph" w:styleId="3">
    <w:name w:val="index 5"/>
    <w:basedOn w:val="1"/>
    <w:next w:val="1"/>
    <w:semiHidden/>
    <w:qFormat/>
    <w:uiPriority w:val="99"/>
    <w:pPr>
      <w:ind w:left="1680"/>
    </w:pPr>
  </w:style>
  <w:style w:type="paragraph" w:styleId="5">
    <w:name w:val="Body Text"/>
    <w:basedOn w:val="1"/>
    <w:qFormat/>
    <w:uiPriority w:val="0"/>
    <w:pPr>
      <w:widowControl w:val="0"/>
      <w:spacing w:line="600" w:lineRule="atLeast"/>
      <w:ind w:firstLine="880" w:firstLineChars="200"/>
      <w:jc w:val="both"/>
    </w:pPr>
    <w:rPr>
      <w:rFonts w:ascii="Times New Roman" w:hAnsi="Times New Roman" w:eastAsia="宋体" w:cs="Times New Roman"/>
      <w:kern w:val="2"/>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Normal (Web)"/>
    <w:basedOn w:val="1"/>
    <w:qFormat/>
    <w:uiPriority w:val="0"/>
    <w:pPr>
      <w:spacing w:before="100" w:beforeAutospacing="1" w:after="100" w:afterAutospacing="1"/>
    </w:pPr>
    <w:rPr>
      <w:rFonts w:ascii="宋体" w:hAnsi="宋体" w:cs="宋体"/>
      <w:sz w:val="24"/>
    </w:rPr>
  </w:style>
  <w:style w:type="character" w:styleId="10">
    <w:name w:val="Strong"/>
    <w:qFormat/>
    <w:uiPriority w:val="22"/>
    <w:rPr>
      <w:b/>
      <w:bCs/>
      <w:spacing w:val="0"/>
    </w:rPr>
  </w:style>
  <w:style w:type="paragraph" w:customStyle="1" w:styleId="11">
    <w:name w:val="Body text|1"/>
    <w:basedOn w:val="1"/>
    <w:qFormat/>
    <w:uiPriority w:val="0"/>
    <w:pPr>
      <w:spacing w:line="379" w:lineRule="auto"/>
      <w:ind w:firstLine="400"/>
    </w:pPr>
    <w:rPr>
      <w:rFonts w:ascii="宋体" w:hAnsi="宋体" w:cs="宋体"/>
      <w:sz w:val="30"/>
      <w:szCs w:val="30"/>
      <w:lang w:val="zh-TW" w:eastAsia="zh-TW" w:bidi="zh-TW"/>
    </w:rPr>
  </w:style>
  <w:style w:type="paragraph" w:customStyle="1" w:styleId="12">
    <w:name w:val="列出段落1"/>
    <w:basedOn w:val="1"/>
    <w:qFormat/>
    <w:uiPriority w:val="0"/>
    <w:pPr>
      <w:ind w:firstLine="200" w:firstLineChars="200"/>
    </w:pPr>
    <w:rPr>
      <w:rFonts w:ascii="Calibri" w:hAnsi="Calibri"/>
      <w:szCs w:val="22"/>
    </w:rPr>
  </w:style>
  <w:style w:type="character" w:customStyle="1" w:styleId="13">
    <w:name w:val="NormalCharacter"/>
    <w:qFormat/>
    <w:uiPriority w:val="0"/>
    <w:rPr>
      <w:rFonts w:ascii="仿宋_GB2312" w:hAnsi="仿宋_GB2312" w:eastAsia="仿宋_GB2312" w:cs="Times New Roman"/>
      <w:kern w:val="2"/>
      <w:sz w:val="32"/>
      <w:szCs w:val="32"/>
      <w:lang w:val="en-US" w:eastAsia="zh-CN" w:bidi="ar-SA"/>
    </w:rPr>
  </w:style>
  <w:style w:type="paragraph" w:styleId="14">
    <w:name w:val="List Paragraph"/>
    <w:basedOn w:val="1"/>
    <w:qFormat/>
    <w:uiPriority w:val="99"/>
    <w:pPr>
      <w:ind w:firstLine="420" w:firstLineChars="200"/>
    </w:pPr>
  </w:style>
  <w:style w:type="table" w:customStyle="1" w:styleId="1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8919</Words>
  <Characters>9653</Characters>
  <Lines>77</Lines>
  <Paragraphs>21</Paragraphs>
  <TotalTime>98</TotalTime>
  <ScaleCrop>false</ScaleCrop>
  <LinksUpToDate>false</LinksUpToDate>
  <CharactersWithSpaces>10106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18506131124</dc:creator>
  <cp:lastModifiedBy>一生兄弟不孤单</cp:lastModifiedBy>
  <dcterms:modified xsi:type="dcterms:W3CDTF">2023-10-11T02:10:40Z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5FC10C81AB50429C9B9F77A777DC85AC_13</vt:lpwstr>
  </property>
</Properties>
</file>